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A1" w:rsidRPr="00E4663B" w:rsidRDefault="00286992" w:rsidP="00295CA1">
      <w:pPr>
        <w:jc w:val="right"/>
        <w:rPr>
          <w:rFonts w:ascii="Franklin Gothic Book" w:hAnsi="Franklin Gothic Book"/>
          <w:b/>
        </w:rPr>
      </w:pPr>
      <w:r>
        <w:rPr>
          <w:noProof/>
          <w:lang w:eastAsia="en-GB"/>
        </w:rPr>
        <w:drawing>
          <wp:anchor distT="0" distB="0" distL="114300" distR="114300" simplePos="0" relativeHeight="251658240" behindDoc="0" locked="0" layoutInCell="1" allowOverlap="1">
            <wp:simplePos x="0" y="0"/>
            <wp:positionH relativeFrom="column">
              <wp:posOffset>3126740</wp:posOffset>
            </wp:positionH>
            <wp:positionV relativeFrom="paragraph">
              <wp:posOffset>207010</wp:posOffset>
            </wp:positionV>
            <wp:extent cx="1550670" cy="699135"/>
            <wp:effectExtent l="0" t="0" r="0" b="5715"/>
            <wp:wrapThrough wrapText="bothSides">
              <wp:wrapPolygon edited="0">
                <wp:start x="0" y="0"/>
                <wp:lineTo x="0" y="21188"/>
                <wp:lineTo x="21229" y="21188"/>
                <wp:lineTo x="212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67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6992" w:rsidRDefault="00286992" w:rsidP="008D224F">
      <w:pPr>
        <w:pStyle w:val="Title"/>
        <w:jc w:val="center"/>
      </w:pPr>
    </w:p>
    <w:p w:rsidR="00286992" w:rsidRPr="00785442" w:rsidRDefault="00286992" w:rsidP="00785442">
      <w:pPr>
        <w:pStyle w:val="Title"/>
      </w:pPr>
    </w:p>
    <w:p w:rsidR="00132CD1" w:rsidRPr="00785442" w:rsidRDefault="001322FE" w:rsidP="00DB4C9C">
      <w:pPr>
        <w:pStyle w:val="Title"/>
        <w:jc w:val="center"/>
        <w:rPr>
          <w:rFonts w:ascii="Arial" w:hAnsi="Arial" w:cs="Arial"/>
          <w:sz w:val="40"/>
          <w:szCs w:val="40"/>
        </w:rPr>
      </w:pPr>
      <w:r w:rsidRPr="00785442">
        <w:rPr>
          <w:rFonts w:ascii="Arial" w:hAnsi="Arial" w:cs="Arial"/>
          <w:sz w:val="40"/>
          <w:szCs w:val="40"/>
        </w:rPr>
        <w:t>20</w:t>
      </w:r>
      <w:r w:rsidR="002B03C2" w:rsidRPr="00785442">
        <w:rPr>
          <w:rFonts w:ascii="Arial" w:hAnsi="Arial" w:cs="Arial"/>
          <w:sz w:val="40"/>
          <w:szCs w:val="40"/>
        </w:rPr>
        <w:t>2</w:t>
      </w:r>
      <w:r w:rsidR="00286992" w:rsidRPr="00785442">
        <w:rPr>
          <w:rFonts w:ascii="Arial" w:hAnsi="Arial" w:cs="Arial"/>
          <w:sz w:val="40"/>
          <w:szCs w:val="40"/>
        </w:rPr>
        <w:t>2</w:t>
      </w:r>
      <w:r w:rsidRPr="00785442">
        <w:rPr>
          <w:rFonts w:ascii="Arial" w:hAnsi="Arial" w:cs="Arial"/>
          <w:sz w:val="40"/>
          <w:szCs w:val="40"/>
        </w:rPr>
        <w:t xml:space="preserve"> Gender Pay Gap Report</w:t>
      </w:r>
    </w:p>
    <w:p w:rsidR="001322FE" w:rsidRPr="00785442" w:rsidRDefault="001322FE">
      <w:pPr>
        <w:rPr>
          <w:rFonts w:ascii="Arial" w:hAnsi="Arial" w:cs="Arial"/>
        </w:rPr>
      </w:pPr>
    </w:p>
    <w:p w:rsidR="001322FE" w:rsidRPr="00785442" w:rsidRDefault="001322FE" w:rsidP="008D224F">
      <w:pPr>
        <w:pStyle w:val="Heading1"/>
        <w:numPr>
          <w:ilvl w:val="0"/>
          <w:numId w:val="7"/>
        </w:numPr>
        <w:rPr>
          <w:rFonts w:ascii="Arial" w:hAnsi="Arial" w:cs="Arial"/>
          <w:b/>
          <w:color w:val="auto"/>
          <w:sz w:val="22"/>
          <w:szCs w:val="22"/>
        </w:rPr>
      </w:pPr>
      <w:r w:rsidRPr="00785442">
        <w:rPr>
          <w:rFonts w:ascii="Arial" w:hAnsi="Arial" w:cs="Arial"/>
          <w:b/>
          <w:color w:val="auto"/>
          <w:sz w:val="22"/>
          <w:szCs w:val="22"/>
        </w:rPr>
        <w:t>Introduction and background</w:t>
      </w:r>
    </w:p>
    <w:p w:rsidR="001322FE" w:rsidRPr="00785442" w:rsidRDefault="001322FE" w:rsidP="001322FE">
      <w:pPr>
        <w:pStyle w:val="NormalWeb"/>
        <w:jc w:val="both"/>
        <w:rPr>
          <w:color w:val="000000"/>
          <w:sz w:val="22"/>
          <w:szCs w:val="22"/>
        </w:rPr>
      </w:pPr>
      <w:r w:rsidRPr="00785442">
        <w:rPr>
          <w:sz w:val="22"/>
          <w:szCs w:val="22"/>
        </w:rPr>
        <w:t xml:space="preserve">This report has been prepared in line with the Equality Act 2010 (Gender Pay Gap information) regulations 2017 and the </w:t>
      </w:r>
      <w:r w:rsidRPr="00785442">
        <w:rPr>
          <w:color w:val="000000"/>
          <w:sz w:val="22"/>
          <w:szCs w:val="22"/>
        </w:rPr>
        <w:t xml:space="preserve">Equality Act 2010 (Specific Duties and Public Authorities) Regulations 2017. These regulations require charities with 250 or more relevant employees to publish gender pay gap information annually, both on the Government website and on their own.  This is the </w:t>
      </w:r>
      <w:r w:rsidR="00286992" w:rsidRPr="00785442">
        <w:rPr>
          <w:color w:val="000000"/>
          <w:sz w:val="22"/>
          <w:szCs w:val="22"/>
        </w:rPr>
        <w:t xml:space="preserve">forth </w:t>
      </w:r>
      <w:r w:rsidRPr="00785442">
        <w:rPr>
          <w:color w:val="000000"/>
          <w:sz w:val="22"/>
          <w:szCs w:val="22"/>
        </w:rPr>
        <w:t>suc</w:t>
      </w:r>
      <w:bookmarkStart w:id="0" w:name="_GoBack"/>
      <w:bookmarkEnd w:id="0"/>
      <w:r w:rsidRPr="00785442">
        <w:rPr>
          <w:color w:val="000000"/>
          <w:sz w:val="22"/>
          <w:szCs w:val="22"/>
        </w:rPr>
        <w:t>h report the Hospice has published.  This report outlines the data that was published on the Government Website as well as some additional narrative and benchmarking, in order to help us better understand what this means for the Hospice.</w:t>
      </w:r>
    </w:p>
    <w:p w:rsidR="001322FE" w:rsidRPr="00785442" w:rsidRDefault="001322FE" w:rsidP="001322FE">
      <w:pPr>
        <w:pStyle w:val="NormalWeb"/>
        <w:jc w:val="both"/>
        <w:rPr>
          <w:color w:val="000000"/>
          <w:sz w:val="22"/>
          <w:szCs w:val="22"/>
        </w:rPr>
      </w:pPr>
      <w:r w:rsidRPr="00785442">
        <w:rPr>
          <w:color w:val="000000"/>
          <w:sz w:val="22"/>
          <w:szCs w:val="22"/>
        </w:rPr>
        <w:t>The data is based on the number of people employed by the Hospice and what they were paid at the “snapshot date” of 5</w:t>
      </w:r>
      <w:r w:rsidRPr="00785442">
        <w:rPr>
          <w:color w:val="000000"/>
          <w:sz w:val="22"/>
          <w:szCs w:val="22"/>
          <w:vertAlign w:val="superscript"/>
        </w:rPr>
        <w:t>th</w:t>
      </w:r>
      <w:r w:rsidRPr="00785442">
        <w:rPr>
          <w:color w:val="000000"/>
          <w:sz w:val="22"/>
          <w:szCs w:val="22"/>
        </w:rPr>
        <w:t xml:space="preserve"> April 20</w:t>
      </w:r>
      <w:r w:rsidR="002B03C2" w:rsidRPr="00785442">
        <w:rPr>
          <w:color w:val="000000"/>
          <w:sz w:val="22"/>
          <w:szCs w:val="22"/>
        </w:rPr>
        <w:t>2</w:t>
      </w:r>
      <w:r w:rsidR="00286992" w:rsidRPr="00785442">
        <w:rPr>
          <w:color w:val="000000"/>
          <w:sz w:val="22"/>
          <w:szCs w:val="22"/>
        </w:rPr>
        <w:t>2</w:t>
      </w:r>
      <w:r w:rsidRPr="00785442">
        <w:rPr>
          <w:color w:val="000000"/>
          <w:sz w:val="22"/>
          <w:szCs w:val="22"/>
        </w:rPr>
        <w:t xml:space="preserve">.  </w:t>
      </w:r>
      <w:r w:rsidR="00BF1B20" w:rsidRPr="00785442">
        <w:rPr>
          <w:color w:val="000000"/>
          <w:sz w:val="22"/>
          <w:szCs w:val="22"/>
        </w:rPr>
        <w:t xml:space="preserve">At </w:t>
      </w:r>
      <w:r w:rsidR="002C56C1" w:rsidRPr="00785442">
        <w:rPr>
          <w:color w:val="000000"/>
          <w:sz w:val="22"/>
          <w:szCs w:val="22"/>
        </w:rPr>
        <w:t>that</w:t>
      </w:r>
      <w:r w:rsidR="00BF1B20" w:rsidRPr="00785442">
        <w:rPr>
          <w:color w:val="000000"/>
          <w:sz w:val="22"/>
          <w:szCs w:val="22"/>
        </w:rPr>
        <w:t xml:space="preserve"> date</w:t>
      </w:r>
      <w:r w:rsidR="00E3569D" w:rsidRPr="00785442">
        <w:rPr>
          <w:color w:val="000000"/>
          <w:sz w:val="22"/>
          <w:szCs w:val="22"/>
        </w:rPr>
        <w:t>,</w:t>
      </w:r>
      <w:r w:rsidR="00A85C07" w:rsidRPr="00785442">
        <w:rPr>
          <w:color w:val="000000"/>
          <w:sz w:val="22"/>
          <w:szCs w:val="22"/>
        </w:rPr>
        <w:t xml:space="preserve"> St Joseph’s Hospice had </w:t>
      </w:r>
      <w:r w:rsidR="00286992" w:rsidRPr="00785442">
        <w:rPr>
          <w:color w:val="000000"/>
          <w:sz w:val="22"/>
          <w:szCs w:val="22"/>
        </w:rPr>
        <w:t>257</w:t>
      </w:r>
      <w:r w:rsidR="00A85C07" w:rsidRPr="00785442">
        <w:rPr>
          <w:color w:val="000000"/>
          <w:sz w:val="22"/>
          <w:szCs w:val="22"/>
        </w:rPr>
        <w:t xml:space="preserve"> employees classe</w:t>
      </w:r>
      <w:r w:rsidR="007E3FDE" w:rsidRPr="00785442">
        <w:rPr>
          <w:color w:val="000000"/>
          <w:sz w:val="22"/>
          <w:szCs w:val="22"/>
        </w:rPr>
        <w:t>d</w:t>
      </w:r>
      <w:r w:rsidR="00A85C07" w:rsidRPr="00785442">
        <w:rPr>
          <w:color w:val="000000"/>
          <w:sz w:val="22"/>
          <w:szCs w:val="22"/>
        </w:rPr>
        <w:t xml:space="preserve"> </w:t>
      </w:r>
      <w:r w:rsidR="00D84572" w:rsidRPr="00785442">
        <w:rPr>
          <w:color w:val="000000"/>
          <w:sz w:val="22"/>
          <w:szCs w:val="22"/>
        </w:rPr>
        <w:t>relevant Employees and 2</w:t>
      </w:r>
      <w:r w:rsidR="00286992" w:rsidRPr="00785442">
        <w:rPr>
          <w:color w:val="000000"/>
          <w:sz w:val="22"/>
          <w:szCs w:val="22"/>
        </w:rPr>
        <w:t>40</w:t>
      </w:r>
      <w:r w:rsidR="00D84572" w:rsidRPr="00785442">
        <w:rPr>
          <w:color w:val="000000"/>
          <w:sz w:val="22"/>
          <w:szCs w:val="22"/>
        </w:rPr>
        <w:t xml:space="preserve"> classed </w:t>
      </w:r>
      <w:r w:rsidR="00A85C07" w:rsidRPr="00785442">
        <w:rPr>
          <w:color w:val="000000"/>
          <w:sz w:val="22"/>
          <w:szCs w:val="22"/>
        </w:rPr>
        <w:t>as “full –pay relevant employees and were used in the reporting of hourly pay gap statistics.</w:t>
      </w:r>
      <w:r w:rsidR="002B03C2" w:rsidRPr="00785442">
        <w:rPr>
          <w:color w:val="000000"/>
          <w:sz w:val="22"/>
          <w:szCs w:val="22"/>
        </w:rPr>
        <w:t xml:space="preserve"> We are therefore reporting </w:t>
      </w:r>
      <w:r w:rsidR="00286992" w:rsidRPr="00785442">
        <w:rPr>
          <w:color w:val="000000"/>
          <w:sz w:val="22"/>
          <w:szCs w:val="22"/>
        </w:rPr>
        <w:t>voluntarily</w:t>
      </w:r>
      <w:r w:rsidR="002B03C2" w:rsidRPr="00785442">
        <w:rPr>
          <w:color w:val="000000"/>
          <w:sz w:val="22"/>
          <w:szCs w:val="22"/>
        </w:rPr>
        <w:t>.</w:t>
      </w:r>
    </w:p>
    <w:p w:rsidR="001322FE" w:rsidRPr="00785442" w:rsidRDefault="001322FE" w:rsidP="00785442">
      <w:pPr>
        <w:pStyle w:val="Heading1"/>
        <w:numPr>
          <w:ilvl w:val="0"/>
          <w:numId w:val="7"/>
        </w:numPr>
        <w:rPr>
          <w:rFonts w:ascii="Arial" w:hAnsi="Arial" w:cs="Arial"/>
          <w:b/>
          <w:color w:val="auto"/>
          <w:sz w:val="22"/>
          <w:szCs w:val="22"/>
        </w:rPr>
      </w:pPr>
      <w:r w:rsidRPr="00785442">
        <w:rPr>
          <w:rFonts w:ascii="Arial" w:hAnsi="Arial" w:cs="Arial"/>
          <w:b/>
          <w:color w:val="auto"/>
          <w:sz w:val="22"/>
          <w:szCs w:val="22"/>
        </w:rPr>
        <w:t>Workforce composition and Pay Structures</w:t>
      </w:r>
    </w:p>
    <w:p w:rsidR="00362A74" w:rsidRPr="00785442" w:rsidRDefault="00362A74" w:rsidP="00295CA1">
      <w:pPr>
        <w:pStyle w:val="NormalWeb"/>
        <w:jc w:val="both"/>
        <w:rPr>
          <w:color w:val="000000"/>
          <w:sz w:val="22"/>
          <w:szCs w:val="22"/>
        </w:rPr>
      </w:pPr>
      <w:r w:rsidRPr="00785442">
        <w:rPr>
          <w:color w:val="000000"/>
          <w:sz w:val="22"/>
          <w:szCs w:val="22"/>
        </w:rPr>
        <w:t xml:space="preserve">The Gender breakdown of the Hospices workforce at the reporting date was </w:t>
      </w:r>
      <w:r w:rsidR="00320B56" w:rsidRPr="00785442">
        <w:rPr>
          <w:color w:val="000000"/>
          <w:sz w:val="22"/>
          <w:szCs w:val="22"/>
        </w:rPr>
        <w:t>74.17</w:t>
      </w:r>
      <w:r w:rsidRPr="00785442">
        <w:rPr>
          <w:color w:val="000000"/>
          <w:sz w:val="22"/>
          <w:szCs w:val="22"/>
        </w:rPr>
        <w:t xml:space="preserve">% female and </w:t>
      </w:r>
      <w:r w:rsidR="00320B56" w:rsidRPr="00785442">
        <w:rPr>
          <w:color w:val="000000"/>
          <w:sz w:val="22"/>
          <w:szCs w:val="22"/>
        </w:rPr>
        <w:t>25.83</w:t>
      </w:r>
      <w:r w:rsidRPr="00785442">
        <w:rPr>
          <w:color w:val="000000"/>
          <w:sz w:val="22"/>
          <w:szCs w:val="22"/>
        </w:rPr>
        <w:t xml:space="preserve">% male.  </w:t>
      </w:r>
      <w:r w:rsidR="0083402A" w:rsidRPr="00785442">
        <w:rPr>
          <w:color w:val="000000"/>
          <w:sz w:val="22"/>
          <w:szCs w:val="22"/>
        </w:rPr>
        <w:t xml:space="preserve">This is </w:t>
      </w:r>
      <w:r w:rsidR="00320B56" w:rsidRPr="00785442">
        <w:rPr>
          <w:color w:val="000000"/>
          <w:sz w:val="22"/>
          <w:szCs w:val="22"/>
        </w:rPr>
        <w:t>a slight shift toward greater numbers of males being employed by the Hospice</w:t>
      </w:r>
      <w:r w:rsidR="0083402A" w:rsidRPr="00785442">
        <w:rPr>
          <w:color w:val="000000"/>
          <w:sz w:val="22"/>
          <w:szCs w:val="22"/>
        </w:rPr>
        <w:t xml:space="preserve">. </w:t>
      </w:r>
      <w:r w:rsidRPr="00785442">
        <w:rPr>
          <w:color w:val="000000"/>
          <w:sz w:val="22"/>
          <w:szCs w:val="22"/>
        </w:rPr>
        <w:t>This shows a higher pr</w:t>
      </w:r>
      <w:r w:rsidR="003D3982" w:rsidRPr="00785442">
        <w:rPr>
          <w:color w:val="000000"/>
          <w:sz w:val="22"/>
          <w:szCs w:val="22"/>
        </w:rPr>
        <w:t>oportion of females to males which</w:t>
      </w:r>
      <w:r w:rsidR="00A10818" w:rsidRPr="00785442">
        <w:rPr>
          <w:color w:val="000000"/>
          <w:sz w:val="22"/>
          <w:szCs w:val="22"/>
        </w:rPr>
        <w:t xml:space="preserve"> was once reflective of</w:t>
      </w:r>
      <w:r w:rsidR="0077416A" w:rsidRPr="00785442">
        <w:rPr>
          <w:color w:val="000000"/>
          <w:sz w:val="22"/>
          <w:szCs w:val="22"/>
        </w:rPr>
        <w:t xml:space="preserve"> the local borough of Hackney</w:t>
      </w:r>
      <w:r w:rsidR="00A10818" w:rsidRPr="00785442">
        <w:rPr>
          <w:color w:val="000000"/>
          <w:sz w:val="22"/>
          <w:szCs w:val="22"/>
        </w:rPr>
        <w:t xml:space="preserve"> how</w:t>
      </w:r>
      <w:r w:rsidR="002C56C1" w:rsidRPr="00785442">
        <w:rPr>
          <w:color w:val="000000"/>
          <w:sz w:val="22"/>
          <w:szCs w:val="22"/>
        </w:rPr>
        <w:t>e</w:t>
      </w:r>
      <w:r w:rsidR="00A10818" w:rsidRPr="00785442">
        <w:rPr>
          <w:color w:val="000000"/>
          <w:sz w:val="22"/>
          <w:szCs w:val="22"/>
        </w:rPr>
        <w:t>ver in the years since the last census there has been a levelling and whilst female number are higher than male the split is much near</w:t>
      </w:r>
      <w:r w:rsidR="002C56C1" w:rsidRPr="00785442">
        <w:rPr>
          <w:color w:val="000000"/>
          <w:sz w:val="22"/>
          <w:szCs w:val="22"/>
        </w:rPr>
        <w:t>er</w:t>
      </w:r>
      <w:r w:rsidR="00A10818" w:rsidRPr="00785442">
        <w:rPr>
          <w:color w:val="000000"/>
          <w:sz w:val="22"/>
          <w:szCs w:val="22"/>
        </w:rPr>
        <w:t xml:space="preserve"> 50/50</w:t>
      </w:r>
      <w:r w:rsidR="0077416A" w:rsidRPr="00785442">
        <w:rPr>
          <w:color w:val="000000"/>
          <w:sz w:val="22"/>
          <w:szCs w:val="22"/>
        </w:rPr>
        <w:t>.</w:t>
      </w:r>
      <w:r w:rsidR="00A10818" w:rsidRPr="00785442">
        <w:rPr>
          <w:color w:val="000000"/>
          <w:sz w:val="22"/>
          <w:szCs w:val="22"/>
        </w:rPr>
        <w:t xml:space="preserve"> Newham projects a male population outnumbering females and Islington</w:t>
      </w:r>
      <w:r w:rsidR="0077416A" w:rsidRPr="00785442">
        <w:rPr>
          <w:color w:val="000000"/>
          <w:sz w:val="22"/>
          <w:szCs w:val="22"/>
        </w:rPr>
        <w:t xml:space="preserve"> </w:t>
      </w:r>
      <w:r w:rsidR="00A10818" w:rsidRPr="00785442">
        <w:rPr>
          <w:color w:val="000000"/>
          <w:sz w:val="22"/>
          <w:szCs w:val="22"/>
        </w:rPr>
        <w:t xml:space="preserve">reports that 51% of the population are male 49% are female. </w:t>
      </w:r>
      <w:r w:rsidR="0077416A" w:rsidRPr="00785442">
        <w:rPr>
          <w:color w:val="000000"/>
          <w:sz w:val="22"/>
          <w:szCs w:val="22"/>
        </w:rPr>
        <w:t>The gender represe</w:t>
      </w:r>
      <w:r w:rsidR="0083402A" w:rsidRPr="00785442">
        <w:rPr>
          <w:color w:val="000000"/>
          <w:sz w:val="22"/>
          <w:szCs w:val="22"/>
        </w:rPr>
        <w:t xml:space="preserve">ntation </w:t>
      </w:r>
      <w:r w:rsidR="00941C06" w:rsidRPr="00785442">
        <w:rPr>
          <w:color w:val="000000"/>
          <w:sz w:val="22"/>
          <w:szCs w:val="22"/>
        </w:rPr>
        <w:t>is similar</w:t>
      </w:r>
      <w:r w:rsidR="0083402A" w:rsidRPr="00785442">
        <w:rPr>
          <w:color w:val="000000"/>
          <w:sz w:val="22"/>
          <w:szCs w:val="22"/>
        </w:rPr>
        <w:t xml:space="preserve"> the </w:t>
      </w:r>
      <w:r w:rsidR="00306CAD" w:rsidRPr="00785442">
        <w:rPr>
          <w:color w:val="000000"/>
          <w:sz w:val="22"/>
          <w:szCs w:val="22"/>
        </w:rPr>
        <w:t>NHS, which</w:t>
      </w:r>
      <w:r w:rsidR="0083402A" w:rsidRPr="00785442">
        <w:rPr>
          <w:color w:val="000000"/>
          <w:sz w:val="22"/>
          <w:szCs w:val="22"/>
        </w:rPr>
        <w:t xml:space="preserve"> reports a workforce comprising </w:t>
      </w:r>
      <w:r w:rsidR="00941C06" w:rsidRPr="00785442">
        <w:rPr>
          <w:color w:val="000000"/>
          <w:sz w:val="22"/>
          <w:szCs w:val="22"/>
        </w:rPr>
        <w:t>67.8</w:t>
      </w:r>
      <w:r w:rsidR="0083402A" w:rsidRPr="00785442">
        <w:rPr>
          <w:color w:val="000000"/>
          <w:sz w:val="22"/>
          <w:szCs w:val="22"/>
        </w:rPr>
        <w:t xml:space="preserve">% women and </w:t>
      </w:r>
      <w:r w:rsidR="00941C06" w:rsidRPr="00785442">
        <w:rPr>
          <w:color w:val="000000"/>
          <w:sz w:val="22"/>
          <w:szCs w:val="22"/>
        </w:rPr>
        <w:t>32.2</w:t>
      </w:r>
      <w:r w:rsidR="0083402A" w:rsidRPr="00785442">
        <w:rPr>
          <w:color w:val="000000"/>
          <w:sz w:val="22"/>
          <w:szCs w:val="22"/>
        </w:rPr>
        <w:t xml:space="preserve">% Male </w:t>
      </w:r>
      <w:r w:rsidR="0077416A" w:rsidRPr="00785442">
        <w:rPr>
          <w:color w:val="000000"/>
          <w:sz w:val="22"/>
          <w:szCs w:val="22"/>
        </w:rPr>
        <w:t>(</w:t>
      </w:r>
      <w:r w:rsidR="0066169F" w:rsidRPr="00785442">
        <w:rPr>
          <w:color w:val="000000"/>
          <w:sz w:val="22"/>
          <w:szCs w:val="22"/>
        </w:rPr>
        <w:t>Source:</w:t>
      </w:r>
      <w:r w:rsidR="0077416A" w:rsidRPr="00785442">
        <w:rPr>
          <w:color w:val="000000"/>
          <w:sz w:val="22"/>
          <w:szCs w:val="22"/>
        </w:rPr>
        <w:t xml:space="preserve"> NHS </w:t>
      </w:r>
      <w:r w:rsidR="00941C06" w:rsidRPr="00785442">
        <w:rPr>
          <w:color w:val="000000"/>
          <w:sz w:val="22"/>
          <w:szCs w:val="22"/>
        </w:rPr>
        <w:t>gender pay gap report 2021</w:t>
      </w:r>
      <w:r w:rsidR="0077416A" w:rsidRPr="00785442">
        <w:rPr>
          <w:color w:val="000000"/>
          <w:sz w:val="22"/>
          <w:szCs w:val="22"/>
        </w:rPr>
        <w:t>).</w:t>
      </w:r>
    </w:p>
    <w:p w:rsidR="004967A9" w:rsidRPr="00785442" w:rsidRDefault="0077416A" w:rsidP="00295CA1">
      <w:pPr>
        <w:pStyle w:val="NormalWeb"/>
        <w:jc w:val="both"/>
        <w:rPr>
          <w:color w:val="000000"/>
          <w:sz w:val="22"/>
          <w:szCs w:val="22"/>
        </w:rPr>
      </w:pPr>
      <w:r w:rsidRPr="00785442">
        <w:rPr>
          <w:color w:val="000000"/>
          <w:sz w:val="22"/>
          <w:szCs w:val="22"/>
        </w:rPr>
        <w:t>The hospice</w:t>
      </w:r>
      <w:r w:rsidR="00320B56" w:rsidRPr="00785442">
        <w:rPr>
          <w:color w:val="000000"/>
          <w:sz w:val="22"/>
          <w:szCs w:val="22"/>
        </w:rPr>
        <w:t xml:space="preserve"> has continued its work on levelling up pay and has eliminated spot salaries from is remuneration strategy consequently there are now</w:t>
      </w:r>
      <w:r w:rsidR="00A10818" w:rsidRPr="00785442">
        <w:rPr>
          <w:color w:val="000000"/>
          <w:sz w:val="22"/>
          <w:szCs w:val="22"/>
        </w:rPr>
        <w:t xml:space="preserve"> </w:t>
      </w:r>
      <w:r w:rsidR="00320B56" w:rsidRPr="00785442">
        <w:rPr>
          <w:color w:val="000000"/>
          <w:sz w:val="22"/>
          <w:szCs w:val="22"/>
        </w:rPr>
        <w:t>two</w:t>
      </w:r>
      <w:r w:rsidR="00A10818" w:rsidRPr="00785442">
        <w:rPr>
          <w:color w:val="000000"/>
          <w:sz w:val="22"/>
          <w:szCs w:val="22"/>
        </w:rPr>
        <w:t xml:space="preserve"> pay scales; </w:t>
      </w:r>
      <w:r w:rsidR="002C56C1" w:rsidRPr="00785442">
        <w:rPr>
          <w:color w:val="000000"/>
          <w:sz w:val="22"/>
          <w:szCs w:val="22"/>
        </w:rPr>
        <w:t>for</w:t>
      </w:r>
      <w:r w:rsidR="00A10818" w:rsidRPr="00785442">
        <w:rPr>
          <w:color w:val="000000"/>
          <w:sz w:val="22"/>
          <w:szCs w:val="22"/>
        </w:rPr>
        <w:t xml:space="preserve"> clinical </w:t>
      </w:r>
      <w:r w:rsidR="00320B56" w:rsidRPr="00785442">
        <w:rPr>
          <w:color w:val="000000"/>
          <w:sz w:val="22"/>
          <w:szCs w:val="22"/>
        </w:rPr>
        <w:t>employees</w:t>
      </w:r>
      <w:r w:rsidR="00A10818" w:rsidRPr="00785442">
        <w:rPr>
          <w:color w:val="000000"/>
          <w:sz w:val="22"/>
          <w:szCs w:val="22"/>
        </w:rPr>
        <w:t xml:space="preserve"> the Hospice</w:t>
      </w:r>
      <w:r w:rsidRPr="00785442">
        <w:rPr>
          <w:color w:val="000000"/>
          <w:sz w:val="22"/>
          <w:szCs w:val="22"/>
        </w:rPr>
        <w:t xml:space="preserve"> mirrors agenda for change pay scales (presently we mirror the </w:t>
      </w:r>
      <w:r w:rsidR="00320B56" w:rsidRPr="00785442">
        <w:rPr>
          <w:color w:val="000000"/>
          <w:sz w:val="22"/>
          <w:szCs w:val="22"/>
        </w:rPr>
        <w:t>2022-23</w:t>
      </w:r>
      <w:r w:rsidRPr="00785442">
        <w:rPr>
          <w:color w:val="000000"/>
          <w:sz w:val="22"/>
          <w:szCs w:val="22"/>
        </w:rPr>
        <w:t xml:space="preserve"> pay</w:t>
      </w:r>
      <w:r w:rsidR="00083DEE" w:rsidRPr="00785442">
        <w:rPr>
          <w:color w:val="000000"/>
          <w:sz w:val="22"/>
          <w:szCs w:val="22"/>
        </w:rPr>
        <w:t xml:space="preserve"> </w:t>
      </w:r>
      <w:r w:rsidRPr="00785442">
        <w:rPr>
          <w:color w:val="000000"/>
          <w:sz w:val="22"/>
          <w:szCs w:val="22"/>
        </w:rPr>
        <w:t>scales)</w:t>
      </w:r>
      <w:r w:rsidR="00A10818" w:rsidRPr="00785442">
        <w:rPr>
          <w:color w:val="000000"/>
          <w:sz w:val="22"/>
          <w:szCs w:val="22"/>
        </w:rPr>
        <w:t xml:space="preserve">. For </w:t>
      </w:r>
      <w:r w:rsidR="00320B56" w:rsidRPr="00785442">
        <w:rPr>
          <w:color w:val="000000"/>
          <w:sz w:val="22"/>
          <w:szCs w:val="22"/>
        </w:rPr>
        <w:t>professional support employees (change in the labelling to recognised the contribution to the mission of the Hospice made by this group of employees</w:t>
      </w:r>
      <w:r w:rsidR="00A10818" w:rsidRPr="00785442">
        <w:rPr>
          <w:color w:val="000000"/>
          <w:sz w:val="22"/>
          <w:szCs w:val="22"/>
        </w:rPr>
        <w:t xml:space="preserve"> a separate </w:t>
      </w:r>
      <w:r w:rsidR="002C56C1" w:rsidRPr="00785442">
        <w:rPr>
          <w:color w:val="000000"/>
          <w:sz w:val="22"/>
          <w:szCs w:val="22"/>
        </w:rPr>
        <w:t>pay scale</w:t>
      </w:r>
      <w:r w:rsidR="00320B56" w:rsidRPr="00785442">
        <w:rPr>
          <w:color w:val="000000"/>
          <w:sz w:val="22"/>
          <w:szCs w:val="22"/>
        </w:rPr>
        <w:t xml:space="preserve"> is operated.  There are plans to close this gap as indicated by an extensive market rate </w:t>
      </w:r>
      <w:r w:rsidR="00320B56" w:rsidRPr="00785442">
        <w:rPr>
          <w:color w:val="000000"/>
          <w:sz w:val="22"/>
          <w:szCs w:val="22"/>
        </w:rPr>
        <w:lastRenderedPageBreak/>
        <w:t>review undertaken by the Hospice.  However it is essential that this is achieved in a way that is sustainable for the long term and.  Funding pressures have an impact here. A</w:t>
      </w:r>
      <w:r w:rsidRPr="00785442">
        <w:rPr>
          <w:color w:val="000000"/>
          <w:sz w:val="22"/>
          <w:szCs w:val="22"/>
        </w:rPr>
        <w:t xml:space="preserve"> small number of medical staff directly employed by the hospice (2.3%) are paid in line with the NHS Pay and conditions circular for medical and dental staff.</w:t>
      </w:r>
      <w:r w:rsidR="00B44D1E" w:rsidRPr="00785442">
        <w:rPr>
          <w:color w:val="000000"/>
          <w:sz w:val="22"/>
          <w:szCs w:val="22"/>
        </w:rPr>
        <w:t xml:space="preserve"> </w:t>
      </w:r>
      <w:r w:rsidR="00320B56" w:rsidRPr="00785442">
        <w:rPr>
          <w:color w:val="000000"/>
          <w:sz w:val="22"/>
          <w:szCs w:val="22"/>
        </w:rPr>
        <w:t xml:space="preserve">this was the work referred to in the </w:t>
      </w:r>
      <w:r w:rsidR="004967A9" w:rsidRPr="00785442">
        <w:rPr>
          <w:color w:val="000000"/>
          <w:sz w:val="22"/>
          <w:szCs w:val="22"/>
        </w:rPr>
        <w:t xml:space="preserve">2021 </w:t>
      </w:r>
      <w:r w:rsidR="00320B56" w:rsidRPr="00785442">
        <w:rPr>
          <w:color w:val="000000"/>
          <w:sz w:val="22"/>
          <w:szCs w:val="22"/>
        </w:rPr>
        <w:t>gender pay Gap report and this report represents some measure of the work undertaken thus far</w:t>
      </w:r>
      <w:r w:rsidR="004967A9" w:rsidRPr="00785442">
        <w:rPr>
          <w:color w:val="000000"/>
          <w:sz w:val="22"/>
          <w:szCs w:val="22"/>
        </w:rPr>
        <w:t>.</w:t>
      </w:r>
      <w:r w:rsidR="00941C06" w:rsidRPr="00785442">
        <w:rPr>
          <w:color w:val="000000"/>
          <w:sz w:val="22"/>
          <w:szCs w:val="22"/>
        </w:rPr>
        <w:t xml:space="preserve"> We will measure the impact of </w:t>
      </w:r>
      <w:r w:rsidR="00320B56" w:rsidRPr="00785442">
        <w:rPr>
          <w:color w:val="000000"/>
          <w:sz w:val="22"/>
          <w:szCs w:val="22"/>
        </w:rPr>
        <w:t xml:space="preserve">the plan to attempt to close the gap with NHS Agenda for Change pay </w:t>
      </w:r>
      <w:r w:rsidR="00941C06" w:rsidRPr="00785442">
        <w:rPr>
          <w:color w:val="000000"/>
          <w:sz w:val="22"/>
          <w:szCs w:val="22"/>
        </w:rPr>
        <w:t>in 202</w:t>
      </w:r>
      <w:r w:rsidR="00320B56" w:rsidRPr="00785442">
        <w:rPr>
          <w:color w:val="000000"/>
          <w:sz w:val="22"/>
          <w:szCs w:val="22"/>
        </w:rPr>
        <w:t>3</w:t>
      </w:r>
      <w:r w:rsidR="00785442">
        <w:rPr>
          <w:color w:val="000000"/>
          <w:sz w:val="22"/>
          <w:szCs w:val="22"/>
        </w:rPr>
        <w:t xml:space="preserve"> </w:t>
      </w:r>
      <w:r w:rsidR="006166A8" w:rsidRPr="00785442">
        <w:rPr>
          <w:color w:val="000000"/>
          <w:sz w:val="22"/>
          <w:szCs w:val="22"/>
        </w:rPr>
        <w:t>Gender Pay Gap Report</w:t>
      </w:r>
      <w:r w:rsidR="00243F4B" w:rsidRPr="00785442">
        <w:rPr>
          <w:color w:val="000000"/>
          <w:sz w:val="22"/>
          <w:szCs w:val="22"/>
        </w:rPr>
        <w:t>.</w:t>
      </w:r>
    </w:p>
    <w:p w:rsidR="00320B56" w:rsidRPr="00785442" w:rsidRDefault="004967A9" w:rsidP="00295CA1">
      <w:pPr>
        <w:pStyle w:val="NormalWeb"/>
        <w:jc w:val="both"/>
        <w:rPr>
          <w:color w:val="000000"/>
          <w:sz w:val="22"/>
          <w:szCs w:val="22"/>
        </w:rPr>
      </w:pPr>
      <w:r w:rsidRPr="00785442">
        <w:rPr>
          <w:color w:val="000000"/>
          <w:sz w:val="22"/>
          <w:szCs w:val="22"/>
        </w:rPr>
        <w:t>The</w:t>
      </w:r>
      <w:r w:rsidR="00320B56" w:rsidRPr="00785442">
        <w:rPr>
          <w:color w:val="000000"/>
          <w:sz w:val="22"/>
          <w:szCs w:val="22"/>
        </w:rPr>
        <w:t xml:space="preserve"> Hospice’s work to </w:t>
      </w:r>
      <w:r w:rsidRPr="00785442">
        <w:rPr>
          <w:color w:val="000000"/>
          <w:sz w:val="22"/>
          <w:szCs w:val="22"/>
        </w:rPr>
        <w:t>strengthen</w:t>
      </w:r>
      <w:r w:rsidR="00B44D1E" w:rsidRPr="00785442">
        <w:rPr>
          <w:color w:val="000000"/>
          <w:sz w:val="22"/>
          <w:szCs w:val="22"/>
        </w:rPr>
        <w:t xml:space="preserve"> its processes for setting pay </w:t>
      </w:r>
      <w:r w:rsidR="00320B56" w:rsidRPr="00785442">
        <w:rPr>
          <w:color w:val="000000"/>
          <w:sz w:val="22"/>
          <w:szCs w:val="22"/>
        </w:rPr>
        <w:t>has been embedded into practice</w:t>
      </w:r>
      <w:r w:rsidR="00785442" w:rsidRPr="00785442">
        <w:rPr>
          <w:color w:val="000000"/>
          <w:sz w:val="22"/>
          <w:szCs w:val="22"/>
        </w:rPr>
        <w:t>; -</w:t>
      </w:r>
      <w:r w:rsidR="00320B56" w:rsidRPr="00785442">
        <w:rPr>
          <w:color w:val="000000"/>
          <w:sz w:val="22"/>
          <w:szCs w:val="22"/>
        </w:rPr>
        <w:t xml:space="preserve"> which comprise</w:t>
      </w:r>
    </w:p>
    <w:p w:rsidR="00320B56" w:rsidRPr="00785442" w:rsidRDefault="00320B56" w:rsidP="00785442">
      <w:pPr>
        <w:pStyle w:val="NormalWeb"/>
        <w:numPr>
          <w:ilvl w:val="0"/>
          <w:numId w:val="8"/>
        </w:numPr>
        <w:jc w:val="both"/>
        <w:rPr>
          <w:color w:val="000000"/>
          <w:sz w:val="22"/>
          <w:szCs w:val="22"/>
        </w:rPr>
      </w:pPr>
      <w:r w:rsidRPr="00785442">
        <w:rPr>
          <w:color w:val="000000"/>
          <w:sz w:val="22"/>
          <w:szCs w:val="22"/>
        </w:rPr>
        <w:t>Job evaluation using a nationally recognised scheme</w:t>
      </w:r>
    </w:p>
    <w:p w:rsidR="00320B56" w:rsidRPr="00785442" w:rsidRDefault="00320B56" w:rsidP="00785442">
      <w:pPr>
        <w:pStyle w:val="NormalWeb"/>
        <w:numPr>
          <w:ilvl w:val="0"/>
          <w:numId w:val="8"/>
        </w:numPr>
        <w:jc w:val="both"/>
        <w:rPr>
          <w:color w:val="000000"/>
          <w:sz w:val="22"/>
          <w:szCs w:val="22"/>
        </w:rPr>
      </w:pPr>
      <w:r w:rsidRPr="00785442">
        <w:rPr>
          <w:color w:val="000000"/>
          <w:sz w:val="22"/>
          <w:szCs w:val="22"/>
        </w:rPr>
        <w:t>Trained in- house job evaluators with access to independent review</w:t>
      </w:r>
    </w:p>
    <w:p w:rsidR="00320B56" w:rsidRPr="00785442" w:rsidRDefault="00320B56" w:rsidP="00785442">
      <w:pPr>
        <w:pStyle w:val="NormalWeb"/>
        <w:numPr>
          <w:ilvl w:val="0"/>
          <w:numId w:val="8"/>
        </w:numPr>
        <w:jc w:val="both"/>
        <w:rPr>
          <w:color w:val="000000"/>
          <w:sz w:val="22"/>
          <w:szCs w:val="22"/>
        </w:rPr>
      </w:pPr>
      <w:r w:rsidRPr="00785442">
        <w:rPr>
          <w:color w:val="000000"/>
          <w:sz w:val="22"/>
          <w:szCs w:val="22"/>
        </w:rPr>
        <w:t>Use of salary survey data to which the Hospice contributes</w:t>
      </w:r>
    </w:p>
    <w:p w:rsidR="00320B56" w:rsidRPr="00785442" w:rsidRDefault="00320B56" w:rsidP="00320B56">
      <w:pPr>
        <w:pStyle w:val="NormalWeb"/>
        <w:jc w:val="both"/>
        <w:rPr>
          <w:color w:val="000000"/>
          <w:sz w:val="22"/>
          <w:szCs w:val="22"/>
        </w:rPr>
      </w:pPr>
      <w:r w:rsidRPr="00785442">
        <w:rPr>
          <w:color w:val="000000"/>
          <w:sz w:val="22"/>
          <w:szCs w:val="22"/>
        </w:rPr>
        <w:t xml:space="preserve">The coming year will see further work on establishing a values based </w:t>
      </w:r>
      <w:r w:rsidR="004967A9" w:rsidRPr="00785442">
        <w:rPr>
          <w:color w:val="000000"/>
          <w:sz w:val="22"/>
          <w:szCs w:val="22"/>
        </w:rPr>
        <w:t xml:space="preserve"> pay and pay progression</w:t>
      </w:r>
      <w:r w:rsidR="00B44D1E" w:rsidRPr="00785442">
        <w:rPr>
          <w:color w:val="000000"/>
          <w:sz w:val="22"/>
          <w:szCs w:val="22"/>
        </w:rPr>
        <w:t xml:space="preserve"> model that underpins the Values and Behaviours Framework </w:t>
      </w:r>
    </w:p>
    <w:p w:rsidR="001322FE" w:rsidRPr="00785442" w:rsidRDefault="001322FE" w:rsidP="00785442">
      <w:pPr>
        <w:pStyle w:val="NormalWeb"/>
        <w:numPr>
          <w:ilvl w:val="0"/>
          <w:numId w:val="7"/>
        </w:numPr>
        <w:jc w:val="both"/>
        <w:rPr>
          <w:b/>
          <w:sz w:val="22"/>
          <w:szCs w:val="22"/>
        </w:rPr>
      </w:pPr>
      <w:r w:rsidRPr="00785442">
        <w:rPr>
          <w:b/>
          <w:sz w:val="22"/>
          <w:szCs w:val="22"/>
        </w:rPr>
        <w:t>St Joseph’s Hospice Statistics</w:t>
      </w:r>
    </w:p>
    <w:p w:rsidR="0077416A" w:rsidRPr="00785442" w:rsidRDefault="0077416A" w:rsidP="00684BA0">
      <w:pPr>
        <w:pStyle w:val="ListParagraph"/>
        <w:numPr>
          <w:ilvl w:val="0"/>
          <w:numId w:val="4"/>
        </w:numPr>
        <w:ind w:left="284" w:hanging="284"/>
        <w:rPr>
          <w:rFonts w:ascii="Arial" w:hAnsi="Arial" w:cs="Arial"/>
        </w:rPr>
      </w:pPr>
      <w:r w:rsidRPr="00785442">
        <w:rPr>
          <w:rFonts w:ascii="Arial" w:hAnsi="Arial" w:cs="Arial"/>
        </w:rPr>
        <w:t xml:space="preserve">Our mean gender pay gap is </w:t>
      </w:r>
      <w:r w:rsidR="00320B56" w:rsidRPr="00785442">
        <w:rPr>
          <w:rFonts w:ascii="Arial" w:hAnsi="Arial" w:cs="Arial"/>
        </w:rPr>
        <w:t>6.</w:t>
      </w:r>
      <w:r w:rsidR="007B02B3" w:rsidRPr="00785442">
        <w:rPr>
          <w:rFonts w:ascii="Arial" w:hAnsi="Arial" w:cs="Arial"/>
        </w:rPr>
        <w:t>01</w:t>
      </w:r>
      <w:r w:rsidRPr="00785442">
        <w:rPr>
          <w:rFonts w:ascii="Arial" w:hAnsi="Arial" w:cs="Arial"/>
        </w:rPr>
        <w:t>%</w:t>
      </w:r>
      <w:r w:rsidR="00941C06" w:rsidRPr="00785442">
        <w:rPr>
          <w:rFonts w:ascii="Arial" w:hAnsi="Arial" w:cs="Arial"/>
        </w:rPr>
        <w:t>, this is an absolute difference of £</w:t>
      </w:r>
      <w:r w:rsidR="007B02B3" w:rsidRPr="00785442">
        <w:rPr>
          <w:rFonts w:ascii="Arial" w:hAnsi="Arial" w:cs="Arial"/>
        </w:rPr>
        <w:t>1.39</w:t>
      </w:r>
      <w:r w:rsidR="00941C06" w:rsidRPr="00785442">
        <w:rPr>
          <w:rFonts w:ascii="Arial" w:hAnsi="Arial" w:cs="Arial"/>
        </w:rPr>
        <w:t xml:space="preserve"> per hour</w:t>
      </w:r>
    </w:p>
    <w:p w:rsidR="0077416A" w:rsidRPr="00785442" w:rsidRDefault="0077416A" w:rsidP="00684BA0">
      <w:pPr>
        <w:pStyle w:val="ListParagraph"/>
        <w:numPr>
          <w:ilvl w:val="0"/>
          <w:numId w:val="4"/>
        </w:numPr>
        <w:ind w:left="284" w:hanging="284"/>
        <w:rPr>
          <w:rFonts w:ascii="Arial" w:hAnsi="Arial" w:cs="Arial"/>
        </w:rPr>
      </w:pPr>
      <w:r w:rsidRPr="00785442">
        <w:rPr>
          <w:rFonts w:ascii="Arial" w:hAnsi="Arial" w:cs="Arial"/>
        </w:rPr>
        <w:t xml:space="preserve">Our median gender pay gap is </w:t>
      </w:r>
      <w:r w:rsidR="007B02B3" w:rsidRPr="00785442">
        <w:rPr>
          <w:rFonts w:ascii="Arial" w:hAnsi="Arial" w:cs="Arial"/>
        </w:rPr>
        <w:t xml:space="preserve">6.75 </w:t>
      </w:r>
      <w:r w:rsidR="00083DEE" w:rsidRPr="00785442">
        <w:rPr>
          <w:rFonts w:ascii="Arial" w:hAnsi="Arial" w:cs="Arial"/>
        </w:rPr>
        <w:t>%</w:t>
      </w:r>
      <w:r w:rsidR="00941C06" w:rsidRPr="00785442">
        <w:rPr>
          <w:rFonts w:ascii="Arial" w:hAnsi="Arial" w:cs="Arial"/>
        </w:rPr>
        <w:t>, this is an absolute difference of</w:t>
      </w:r>
      <w:r w:rsidR="007B02B3" w:rsidRPr="00785442">
        <w:rPr>
          <w:rFonts w:ascii="Arial" w:hAnsi="Arial" w:cs="Arial"/>
        </w:rPr>
        <w:t xml:space="preserve"> </w:t>
      </w:r>
      <w:r w:rsidR="00941C06" w:rsidRPr="00785442">
        <w:rPr>
          <w:rFonts w:ascii="Arial" w:hAnsi="Arial" w:cs="Arial"/>
        </w:rPr>
        <w:t>£</w:t>
      </w:r>
      <w:r w:rsidR="007B02B3" w:rsidRPr="00785442">
        <w:rPr>
          <w:rFonts w:ascii="Arial" w:hAnsi="Arial" w:cs="Arial"/>
        </w:rPr>
        <w:t>1.50</w:t>
      </w:r>
      <w:r w:rsidR="00941C06" w:rsidRPr="00785442">
        <w:rPr>
          <w:rFonts w:ascii="Arial" w:hAnsi="Arial" w:cs="Arial"/>
        </w:rPr>
        <w:t xml:space="preserve"> per hour</w:t>
      </w:r>
    </w:p>
    <w:p w:rsidR="0077416A" w:rsidRPr="00785442" w:rsidRDefault="0077416A" w:rsidP="00684BA0">
      <w:pPr>
        <w:pStyle w:val="ListParagraph"/>
        <w:numPr>
          <w:ilvl w:val="0"/>
          <w:numId w:val="4"/>
        </w:numPr>
        <w:ind w:left="284" w:hanging="284"/>
        <w:rPr>
          <w:rFonts w:ascii="Arial" w:hAnsi="Arial" w:cs="Arial"/>
        </w:rPr>
      </w:pPr>
      <w:r w:rsidRPr="00785442">
        <w:rPr>
          <w:rFonts w:ascii="Arial" w:hAnsi="Arial" w:cs="Arial"/>
        </w:rPr>
        <w:t>Our mean bonus pay gap is</w:t>
      </w:r>
      <w:r w:rsidR="00083DEE" w:rsidRPr="00785442">
        <w:rPr>
          <w:rFonts w:ascii="Arial" w:hAnsi="Arial" w:cs="Arial"/>
        </w:rPr>
        <w:t xml:space="preserve"> 0%</w:t>
      </w:r>
    </w:p>
    <w:p w:rsidR="0077416A" w:rsidRPr="00785442" w:rsidRDefault="0077416A" w:rsidP="00684BA0">
      <w:pPr>
        <w:pStyle w:val="ListParagraph"/>
        <w:numPr>
          <w:ilvl w:val="0"/>
          <w:numId w:val="4"/>
        </w:numPr>
        <w:ind w:left="284" w:hanging="284"/>
        <w:rPr>
          <w:rFonts w:ascii="Arial" w:hAnsi="Arial" w:cs="Arial"/>
        </w:rPr>
      </w:pPr>
      <w:r w:rsidRPr="00785442">
        <w:rPr>
          <w:rFonts w:ascii="Arial" w:hAnsi="Arial" w:cs="Arial"/>
        </w:rPr>
        <w:t xml:space="preserve">Our median gender bonus gap is </w:t>
      </w:r>
      <w:r w:rsidR="00083DEE" w:rsidRPr="00785442">
        <w:rPr>
          <w:rFonts w:ascii="Arial" w:hAnsi="Arial" w:cs="Arial"/>
        </w:rPr>
        <w:t>0%</w:t>
      </w:r>
    </w:p>
    <w:p w:rsidR="00083DEE" w:rsidRPr="00785442" w:rsidRDefault="00083DEE" w:rsidP="00684BA0">
      <w:pPr>
        <w:pStyle w:val="ListParagraph"/>
        <w:numPr>
          <w:ilvl w:val="0"/>
          <w:numId w:val="4"/>
        </w:numPr>
        <w:ind w:left="284" w:hanging="284"/>
        <w:rPr>
          <w:rFonts w:ascii="Arial" w:hAnsi="Arial" w:cs="Arial"/>
        </w:rPr>
      </w:pPr>
      <w:r w:rsidRPr="00785442">
        <w:rPr>
          <w:rFonts w:ascii="Arial" w:hAnsi="Arial" w:cs="Arial"/>
        </w:rPr>
        <w:t>The hospice does not pay bonuses to any staff</w:t>
      </w:r>
    </w:p>
    <w:p w:rsidR="00B44D1E" w:rsidRPr="00785442" w:rsidRDefault="00B44D1E" w:rsidP="00785442">
      <w:pPr>
        <w:pStyle w:val="Heading1"/>
        <w:numPr>
          <w:ilvl w:val="0"/>
          <w:numId w:val="7"/>
        </w:numPr>
        <w:spacing w:line="240" w:lineRule="auto"/>
        <w:rPr>
          <w:rFonts w:ascii="Arial" w:hAnsi="Arial" w:cs="Arial"/>
          <w:b/>
          <w:color w:val="auto"/>
          <w:sz w:val="22"/>
          <w:szCs w:val="22"/>
        </w:rPr>
      </w:pPr>
      <w:r w:rsidRPr="00785442">
        <w:rPr>
          <w:rFonts w:ascii="Arial" w:hAnsi="Arial" w:cs="Arial"/>
          <w:b/>
          <w:color w:val="auto"/>
          <w:sz w:val="22"/>
          <w:szCs w:val="22"/>
        </w:rPr>
        <w:t>Trend</w:t>
      </w:r>
    </w:p>
    <w:tbl>
      <w:tblPr>
        <w:tblpPr w:leftFromText="180" w:rightFromText="180" w:vertAnchor="text" w:horzAnchor="margin" w:tblpY="130"/>
        <w:tblW w:w="101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319"/>
        <w:gridCol w:w="4668"/>
        <w:gridCol w:w="4119"/>
      </w:tblGrid>
      <w:tr w:rsidR="00B44D1E" w:rsidRPr="00785442" w:rsidTr="00456BB7">
        <w:trPr>
          <w:trHeight w:val="211"/>
          <w:tblCellSpacing w:w="20" w:type="dxa"/>
        </w:trPr>
        <w:tc>
          <w:tcPr>
            <w:tcW w:w="1275" w:type="dxa"/>
            <w:tcMar>
              <w:top w:w="113" w:type="dxa"/>
              <w:left w:w="180" w:type="dxa"/>
              <w:bottom w:w="113" w:type="dxa"/>
              <w:right w:w="180" w:type="dxa"/>
            </w:tcMar>
            <w:vAlign w:val="center"/>
            <w:hideMark/>
          </w:tcPr>
          <w:p w:rsidR="00B44D1E" w:rsidRPr="00785442" w:rsidRDefault="00B44D1E" w:rsidP="00785442">
            <w:pPr>
              <w:spacing w:line="240" w:lineRule="auto"/>
              <w:jc w:val="center"/>
              <w:rPr>
                <w:rFonts w:ascii="Arial" w:eastAsia="Times New Roman" w:hAnsi="Arial" w:cs="Arial"/>
                <w:b/>
                <w:bCs/>
                <w:color w:val="000000"/>
              </w:rPr>
            </w:pPr>
            <w:r w:rsidRPr="00785442">
              <w:rPr>
                <w:rFonts w:ascii="Arial" w:eastAsia="Times New Roman" w:hAnsi="Arial" w:cs="Arial"/>
                <w:b/>
                <w:bCs/>
                <w:color w:val="000000"/>
              </w:rPr>
              <w:t>Year</w:t>
            </w:r>
          </w:p>
        </w:tc>
        <w:tc>
          <w:tcPr>
            <w:tcW w:w="4705" w:type="dxa"/>
            <w:tcMar>
              <w:top w:w="113" w:type="dxa"/>
              <w:left w:w="180" w:type="dxa"/>
              <w:bottom w:w="113" w:type="dxa"/>
              <w:right w:w="180" w:type="dxa"/>
            </w:tcMar>
            <w:vAlign w:val="center"/>
            <w:hideMark/>
          </w:tcPr>
          <w:p w:rsidR="00B44D1E" w:rsidRPr="00785442" w:rsidRDefault="00785442" w:rsidP="00785442">
            <w:pPr>
              <w:spacing w:line="240" w:lineRule="auto"/>
              <w:jc w:val="center"/>
              <w:rPr>
                <w:rFonts w:ascii="Arial" w:eastAsia="Times New Roman" w:hAnsi="Arial" w:cs="Arial"/>
                <w:b/>
                <w:bCs/>
                <w:color w:val="000000"/>
              </w:rPr>
            </w:pPr>
            <w:r>
              <w:rPr>
                <w:rFonts w:ascii="Arial" w:eastAsia="Times New Roman" w:hAnsi="Arial" w:cs="Arial"/>
                <w:b/>
                <w:bCs/>
                <w:color w:val="000000"/>
              </w:rPr>
              <w:t>St. Joseph’s Hospice</w:t>
            </w:r>
          </w:p>
          <w:p w:rsidR="00B44D1E" w:rsidRPr="00785442" w:rsidRDefault="00B44D1E" w:rsidP="00785442">
            <w:pPr>
              <w:spacing w:line="240" w:lineRule="auto"/>
              <w:jc w:val="center"/>
              <w:rPr>
                <w:rFonts w:ascii="Arial" w:eastAsia="Times New Roman" w:hAnsi="Arial" w:cs="Arial"/>
                <w:b/>
                <w:bCs/>
                <w:color w:val="000000"/>
              </w:rPr>
            </w:pPr>
            <w:r w:rsidRPr="00785442">
              <w:rPr>
                <w:rFonts w:ascii="Arial" w:eastAsia="Times New Roman" w:hAnsi="Arial" w:cs="Arial"/>
                <w:b/>
                <w:bCs/>
                <w:color w:val="000000"/>
              </w:rPr>
              <w:t>mean gender pay gap (%)</w:t>
            </w:r>
          </w:p>
        </w:tc>
        <w:tc>
          <w:tcPr>
            <w:tcW w:w="4126" w:type="dxa"/>
            <w:tcMar>
              <w:top w:w="113" w:type="dxa"/>
              <w:left w:w="180" w:type="dxa"/>
              <w:bottom w:w="113" w:type="dxa"/>
              <w:right w:w="180" w:type="dxa"/>
            </w:tcMar>
            <w:vAlign w:val="center"/>
            <w:hideMark/>
          </w:tcPr>
          <w:p w:rsidR="00B44D1E" w:rsidRPr="00785442" w:rsidRDefault="00B44D1E" w:rsidP="00785442">
            <w:pPr>
              <w:spacing w:line="240" w:lineRule="auto"/>
              <w:jc w:val="center"/>
              <w:rPr>
                <w:rFonts w:ascii="Arial" w:eastAsia="Times New Roman" w:hAnsi="Arial" w:cs="Arial"/>
                <w:b/>
                <w:bCs/>
                <w:color w:val="000000"/>
              </w:rPr>
            </w:pPr>
            <w:r w:rsidRPr="00785442">
              <w:rPr>
                <w:rFonts w:ascii="Arial" w:eastAsia="Times New Roman" w:hAnsi="Arial" w:cs="Arial"/>
                <w:b/>
                <w:bCs/>
                <w:color w:val="000000"/>
              </w:rPr>
              <w:t>Change from previous year</w:t>
            </w:r>
          </w:p>
          <w:p w:rsidR="00B44D1E" w:rsidRPr="00785442" w:rsidRDefault="00B44D1E" w:rsidP="00785442">
            <w:pPr>
              <w:spacing w:line="240" w:lineRule="auto"/>
              <w:jc w:val="center"/>
              <w:rPr>
                <w:rFonts w:ascii="Arial" w:eastAsia="Times New Roman" w:hAnsi="Arial" w:cs="Arial"/>
                <w:b/>
                <w:bCs/>
                <w:color w:val="000000"/>
              </w:rPr>
            </w:pPr>
            <w:r w:rsidRPr="00785442">
              <w:rPr>
                <w:rFonts w:ascii="Arial" w:eastAsia="Times New Roman" w:hAnsi="Arial" w:cs="Arial"/>
                <w:b/>
                <w:bCs/>
                <w:color w:val="000000"/>
              </w:rPr>
              <w:t>(percentage points)</w:t>
            </w:r>
          </w:p>
        </w:tc>
      </w:tr>
      <w:tr w:rsidR="007B02B3" w:rsidRPr="00785442" w:rsidTr="00785442">
        <w:trPr>
          <w:trHeight w:val="402"/>
          <w:tblCellSpacing w:w="20" w:type="dxa"/>
        </w:trPr>
        <w:tc>
          <w:tcPr>
            <w:tcW w:w="1275" w:type="dxa"/>
            <w:tcMar>
              <w:top w:w="113" w:type="dxa"/>
              <w:left w:w="180" w:type="dxa"/>
              <w:bottom w:w="113" w:type="dxa"/>
              <w:right w:w="180" w:type="dxa"/>
            </w:tcMar>
            <w:vAlign w:val="center"/>
          </w:tcPr>
          <w:p w:rsidR="007B02B3" w:rsidRPr="00785442" w:rsidRDefault="007B02B3" w:rsidP="00785442">
            <w:pPr>
              <w:spacing w:line="240" w:lineRule="auto"/>
              <w:jc w:val="center"/>
              <w:rPr>
                <w:rFonts w:ascii="Arial" w:eastAsia="Times New Roman" w:hAnsi="Arial" w:cs="Arial"/>
                <w:b/>
                <w:bCs/>
                <w:color w:val="000000"/>
              </w:rPr>
            </w:pPr>
            <w:r w:rsidRPr="00785442">
              <w:rPr>
                <w:rFonts w:ascii="Arial" w:eastAsia="Times New Roman" w:hAnsi="Arial" w:cs="Arial"/>
                <w:b/>
                <w:bCs/>
                <w:color w:val="000000"/>
              </w:rPr>
              <w:t>2022</w:t>
            </w:r>
          </w:p>
        </w:tc>
        <w:tc>
          <w:tcPr>
            <w:tcW w:w="4705" w:type="dxa"/>
            <w:tcMar>
              <w:top w:w="113" w:type="dxa"/>
              <w:left w:w="180" w:type="dxa"/>
              <w:bottom w:w="113" w:type="dxa"/>
              <w:right w:w="180" w:type="dxa"/>
            </w:tcMar>
            <w:vAlign w:val="center"/>
          </w:tcPr>
          <w:p w:rsidR="007B02B3" w:rsidRPr="00785442" w:rsidRDefault="007B02B3" w:rsidP="00785442">
            <w:pPr>
              <w:spacing w:line="240" w:lineRule="auto"/>
              <w:jc w:val="center"/>
              <w:rPr>
                <w:rFonts w:ascii="Arial" w:eastAsia="Times New Roman" w:hAnsi="Arial" w:cs="Arial"/>
                <w:b/>
                <w:bCs/>
                <w:color w:val="000000"/>
              </w:rPr>
            </w:pPr>
            <w:r w:rsidRPr="00785442">
              <w:rPr>
                <w:rFonts w:ascii="Arial" w:eastAsia="Times New Roman" w:hAnsi="Arial" w:cs="Arial"/>
                <w:b/>
                <w:bCs/>
                <w:color w:val="000000"/>
              </w:rPr>
              <w:t>6.01</w:t>
            </w:r>
          </w:p>
        </w:tc>
        <w:tc>
          <w:tcPr>
            <w:tcW w:w="4126" w:type="dxa"/>
            <w:tcMar>
              <w:top w:w="113" w:type="dxa"/>
              <w:left w:w="180" w:type="dxa"/>
              <w:bottom w:w="113" w:type="dxa"/>
              <w:right w:w="180" w:type="dxa"/>
            </w:tcMar>
            <w:vAlign w:val="center"/>
          </w:tcPr>
          <w:p w:rsidR="007B02B3" w:rsidRPr="00785442" w:rsidRDefault="007B02B3" w:rsidP="00785442">
            <w:pPr>
              <w:spacing w:line="240" w:lineRule="auto"/>
              <w:jc w:val="center"/>
              <w:rPr>
                <w:rFonts w:ascii="Arial" w:eastAsia="Times New Roman" w:hAnsi="Arial" w:cs="Arial"/>
                <w:b/>
                <w:bCs/>
                <w:color w:val="000000"/>
              </w:rPr>
            </w:pPr>
            <w:r w:rsidRPr="00785442">
              <w:rPr>
                <w:rFonts w:ascii="Arial" w:eastAsia="Times New Roman" w:hAnsi="Arial" w:cs="Arial"/>
                <w:b/>
                <w:bCs/>
                <w:color w:val="000000"/>
              </w:rPr>
              <w:t>2.91</w:t>
            </w:r>
          </w:p>
        </w:tc>
      </w:tr>
      <w:tr w:rsidR="00941C06" w:rsidRPr="00785442" w:rsidTr="00456BB7">
        <w:trPr>
          <w:trHeight w:val="211"/>
          <w:tblCellSpacing w:w="20" w:type="dxa"/>
        </w:trPr>
        <w:tc>
          <w:tcPr>
            <w:tcW w:w="1275" w:type="dxa"/>
            <w:tcMar>
              <w:top w:w="113" w:type="dxa"/>
              <w:left w:w="180" w:type="dxa"/>
              <w:bottom w:w="113" w:type="dxa"/>
              <w:right w:w="180" w:type="dxa"/>
            </w:tcMar>
            <w:vAlign w:val="center"/>
          </w:tcPr>
          <w:p w:rsidR="00941C06" w:rsidRPr="00785442" w:rsidRDefault="00941C06" w:rsidP="00785442">
            <w:pPr>
              <w:spacing w:line="240" w:lineRule="auto"/>
              <w:jc w:val="center"/>
              <w:rPr>
                <w:rFonts w:ascii="Arial" w:eastAsia="Times New Roman" w:hAnsi="Arial" w:cs="Arial"/>
                <w:bCs/>
                <w:color w:val="000000"/>
              </w:rPr>
            </w:pPr>
            <w:r w:rsidRPr="00785442">
              <w:rPr>
                <w:rFonts w:ascii="Arial" w:eastAsia="Times New Roman" w:hAnsi="Arial" w:cs="Arial"/>
                <w:bCs/>
                <w:color w:val="000000"/>
              </w:rPr>
              <w:t>2021</w:t>
            </w:r>
          </w:p>
        </w:tc>
        <w:tc>
          <w:tcPr>
            <w:tcW w:w="4705" w:type="dxa"/>
            <w:tcMar>
              <w:top w:w="113" w:type="dxa"/>
              <w:left w:w="180" w:type="dxa"/>
              <w:bottom w:w="113" w:type="dxa"/>
              <w:right w:w="180" w:type="dxa"/>
            </w:tcMar>
            <w:vAlign w:val="center"/>
          </w:tcPr>
          <w:p w:rsidR="00941C06" w:rsidRPr="00785442" w:rsidRDefault="00941C06" w:rsidP="00785442">
            <w:pPr>
              <w:spacing w:line="240" w:lineRule="auto"/>
              <w:jc w:val="center"/>
              <w:rPr>
                <w:rFonts w:ascii="Arial" w:eastAsia="Times New Roman" w:hAnsi="Arial" w:cs="Arial"/>
                <w:bCs/>
                <w:color w:val="000000"/>
              </w:rPr>
            </w:pPr>
            <w:r w:rsidRPr="00785442">
              <w:rPr>
                <w:rFonts w:ascii="Arial" w:eastAsia="Times New Roman" w:hAnsi="Arial" w:cs="Arial"/>
                <w:bCs/>
                <w:color w:val="000000"/>
              </w:rPr>
              <w:t>-3.1</w:t>
            </w:r>
          </w:p>
        </w:tc>
        <w:tc>
          <w:tcPr>
            <w:tcW w:w="4126" w:type="dxa"/>
            <w:tcMar>
              <w:top w:w="113" w:type="dxa"/>
              <w:left w:w="180" w:type="dxa"/>
              <w:bottom w:w="113" w:type="dxa"/>
              <w:right w:w="180" w:type="dxa"/>
            </w:tcMar>
            <w:vAlign w:val="center"/>
          </w:tcPr>
          <w:p w:rsidR="00941C06" w:rsidRPr="00785442" w:rsidRDefault="00941C06" w:rsidP="00785442">
            <w:pPr>
              <w:spacing w:line="240" w:lineRule="auto"/>
              <w:jc w:val="center"/>
              <w:rPr>
                <w:rFonts w:ascii="Arial" w:eastAsia="Times New Roman" w:hAnsi="Arial" w:cs="Arial"/>
                <w:bCs/>
                <w:color w:val="000000"/>
              </w:rPr>
            </w:pPr>
            <w:r w:rsidRPr="00785442">
              <w:rPr>
                <w:rFonts w:ascii="Arial" w:eastAsia="Times New Roman" w:hAnsi="Arial" w:cs="Arial"/>
                <w:bCs/>
                <w:color w:val="000000"/>
              </w:rPr>
              <w:t>1.0</w:t>
            </w:r>
          </w:p>
        </w:tc>
      </w:tr>
      <w:tr w:rsidR="00B44D1E" w:rsidRPr="00785442" w:rsidTr="00941C06">
        <w:trPr>
          <w:trHeight w:val="299"/>
          <w:tblCellSpacing w:w="20" w:type="dxa"/>
        </w:trPr>
        <w:tc>
          <w:tcPr>
            <w:tcW w:w="1275" w:type="dxa"/>
            <w:shd w:val="clear" w:color="auto" w:fill="auto"/>
            <w:tcMar>
              <w:top w:w="113" w:type="dxa"/>
              <w:left w:w="180" w:type="dxa"/>
              <w:bottom w:w="113" w:type="dxa"/>
              <w:right w:w="180" w:type="dxa"/>
            </w:tcMar>
            <w:vAlign w:val="center"/>
            <w:hideMark/>
          </w:tcPr>
          <w:p w:rsidR="00B44D1E" w:rsidRPr="00785442" w:rsidRDefault="00B44D1E" w:rsidP="00785442">
            <w:pPr>
              <w:spacing w:line="240" w:lineRule="auto"/>
              <w:jc w:val="center"/>
              <w:rPr>
                <w:rFonts w:ascii="Arial" w:eastAsia="Times New Roman" w:hAnsi="Arial" w:cs="Arial"/>
                <w:color w:val="000000"/>
              </w:rPr>
            </w:pPr>
            <w:r w:rsidRPr="00785442">
              <w:rPr>
                <w:rFonts w:ascii="Arial" w:eastAsia="Times New Roman" w:hAnsi="Arial" w:cs="Arial"/>
                <w:color w:val="000000"/>
              </w:rPr>
              <w:t>2020</w:t>
            </w:r>
          </w:p>
        </w:tc>
        <w:tc>
          <w:tcPr>
            <w:tcW w:w="4705" w:type="dxa"/>
            <w:shd w:val="clear" w:color="auto" w:fill="auto"/>
            <w:tcMar>
              <w:top w:w="113" w:type="dxa"/>
              <w:left w:w="180" w:type="dxa"/>
              <w:bottom w:w="113" w:type="dxa"/>
              <w:right w:w="180" w:type="dxa"/>
            </w:tcMar>
            <w:vAlign w:val="center"/>
            <w:hideMark/>
          </w:tcPr>
          <w:p w:rsidR="00B44D1E" w:rsidRPr="00785442" w:rsidRDefault="00B44D1E" w:rsidP="00785442">
            <w:pPr>
              <w:spacing w:line="240" w:lineRule="auto"/>
              <w:jc w:val="center"/>
              <w:rPr>
                <w:rFonts w:ascii="Arial" w:eastAsia="Times New Roman" w:hAnsi="Arial" w:cs="Arial"/>
                <w:color w:val="000000"/>
              </w:rPr>
            </w:pPr>
            <w:r w:rsidRPr="00785442">
              <w:rPr>
                <w:rFonts w:ascii="Arial" w:eastAsia="Times New Roman" w:hAnsi="Arial" w:cs="Arial"/>
                <w:color w:val="000000"/>
              </w:rPr>
              <w:t>-2.0</w:t>
            </w:r>
          </w:p>
        </w:tc>
        <w:tc>
          <w:tcPr>
            <w:tcW w:w="4126" w:type="dxa"/>
            <w:shd w:val="clear" w:color="auto" w:fill="auto"/>
            <w:tcMar>
              <w:top w:w="113" w:type="dxa"/>
              <w:left w:w="180" w:type="dxa"/>
              <w:bottom w:w="113" w:type="dxa"/>
              <w:right w:w="180" w:type="dxa"/>
            </w:tcMar>
            <w:vAlign w:val="center"/>
          </w:tcPr>
          <w:p w:rsidR="00B44D1E" w:rsidRPr="00785442" w:rsidRDefault="00B44D1E" w:rsidP="00785442">
            <w:pPr>
              <w:spacing w:line="240" w:lineRule="auto"/>
              <w:jc w:val="center"/>
              <w:rPr>
                <w:rFonts w:ascii="Arial" w:eastAsia="Times New Roman" w:hAnsi="Arial" w:cs="Arial"/>
                <w:color w:val="000000"/>
              </w:rPr>
            </w:pPr>
            <w:r w:rsidRPr="00785442">
              <w:rPr>
                <w:rFonts w:ascii="Arial" w:eastAsia="Times New Roman" w:hAnsi="Arial" w:cs="Arial"/>
                <w:color w:val="000000"/>
              </w:rPr>
              <w:t>-6.9</w:t>
            </w:r>
          </w:p>
        </w:tc>
      </w:tr>
      <w:tr w:rsidR="00B44D1E" w:rsidRPr="00785442" w:rsidTr="00456BB7">
        <w:trPr>
          <w:trHeight w:val="299"/>
          <w:tblCellSpacing w:w="20" w:type="dxa"/>
        </w:trPr>
        <w:tc>
          <w:tcPr>
            <w:tcW w:w="1275" w:type="dxa"/>
            <w:tcMar>
              <w:top w:w="113" w:type="dxa"/>
              <w:left w:w="180" w:type="dxa"/>
              <w:bottom w:w="113" w:type="dxa"/>
              <w:right w:w="180" w:type="dxa"/>
            </w:tcMar>
            <w:vAlign w:val="center"/>
            <w:hideMark/>
          </w:tcPr>
          <w:p w:rsidR="00B44D1E" w:rsidRPr="00785442" w:rsidRDefault="00B44D1E" w:rsidP="00785442">
            <w:pPr>
              <w:spacing w:line="240" w:lineRule="auto"/>
              <w:jc w:val="center"/>
              <w:rPr>
                <w:rFonts w:ascii="Arial" w:eastAsia="Times New Roman" w:hAnsi="Arial" w:cs="Arial"/>
                <w:color w:val="000000"/>
              </w:rPr>
            </w:pPr>
            <w:r w:rsidRPr="00785442">
              <w:rPr>
                <w:rFonts w:ascii="Arial" w:eastAsia="Times New Roman" w:hAnsi="Arial" w:cs="Arial"/>
                <w:color w:val="000000"/>
              </w:rPr>
              <w:t>2019</w:t>
            </w:r>
          </w:p>
        </w:tc>
        <w:tc>
          <w:tcPr>
            <w:tcW w:w="4705" w:type="dxa"/>
            <w:tcMar>
              <w:top w:w="113" w:type="dxa"/>
              <w:left w:w="180" w:type="dxa"/>
              <w:bottom w:w="113" w:type="dxa"/>
              <w:right w:w="180" w:type="dxa"/>
            </w:tcMar>
            <w:vAlign w:val="center"/>
            <w:hideMark/>
          </w:tcPr>
          <w:p w:rsidR="00B44D1E" w:rsidRPr="00785442" w:rsidRDefault="00B44D1E" w:rsidP="00785442">
            <w:pPr>
              <w:spacing w:line="240" w:lineRule="auto"/>
              <w:jc w:val="center"/>
              <w:rPr>
                <w:rFonts w:ascii="Arial" w:eastAsia="Times New Roman" w:hAnsi="Arial" w:cs="Arial"/>
                <w:color w:val="000000"/>
              </w:rPr>
            </w:pPr>
            <w:r w:rsidRPr="00785442">
              <w:rPr>
                <w:rFonts w:ascii="Arial" w:hAnsi="Arial" w:cs="Arial"/>
              </w:rPr>
              <w:t>4.8</w:t>
            </w:r>
          </w:p>
        </w:tc>
        <w:tc>
          <w:tcPr>
            <w:tcW w:w="4126" w:type="dxa"/>
            <w:tcMar>
              <w:top w:w="113" w:type="dxa"/>
              <w:left w:w="180" w:type="dxa"/>
              <w:bottom w:w="113" w:type="dxa"/>
              <w:right w:w="180" w:type="dxa"/>
            </w:tcMar>
            <w:vAlign w:val="center"/>
          </w:tcPr>
          <w:p w:rsidR="00B44D1E" w:rsidRPr="00785442" w:rsidRDefault="00B44D1E" w:rsidP="00785442">
            <w:pPr>
              <w:spacing w:line="240" w:lineRule="auto"/>
              <w:jc w:val="center"/>
              <w:rPr>
                <w:rFonts w:ascii="Arial" w:eastAsia="Times New Roman" w:hAnsi="Arial" w:cs="Arial"/>
                <w:color w:val="000000"/>
              </w:rPr>
            </w:pPr>
            <w:r w:rsidRPr="00785442">
              <w:rPr>
                <w:rFonts w:ascii="Arial" w:hAnsi="Arial" w:cs="Arial"/>
              </w:rPr>
              <w:t>-0.3</w:t>
            </w:r>
          </w:p>
        </w:tc>
      </w:tr>
      <w:tr w:rsidR="00B44D1E" w:rsidRPr="00785442" w:rsidTr="00456BB7">
        <w:trPr>
          <w:trHeight w:val="273"/>
          <w:tblCellSpacing w:w="20" w:type="dxa"/>
        </w:trPr>
        <w:tc>
          <w:tcPr>
            <w:tcW w:w="1275" w:type="dxa"/>
            <w:tcMar>
              <w:top w:w="113" w:type="dxa"/>
              <w:left w:w="180" w:type="dxa"/>
              <w:bottom w:w="113" w:type="dxa"/>
              <w:right w:w="180" w:type="dxa"/>
            </w:tcMar>
            <w:vAlign w:val="center"/>
            <w:hideMark/>
          </w:tcPr>
          <w:p w:rsidR="00B44D1E" w:rsidRPr="00785442" w:rsidRDefault="00B44D1E" w:rsidP="00785442">
            <w:pPr>
              <w:spacing w:line="240" w:lineRule="auto"/>
              <w:jc w:val="center"/>
              <w:rPr>
                <w:rFonts w:ascii="Arial" w:eastAsia="Times New Roman" w:hAnsi="Arial" w:cs="Arial"/>
                <w:color w:val="000000"/>
              </w:rPr>
            </w:pPr>
            <w:r w:rsidRPr="00785442">
              <w:rPr>
                <w:rFonts w:ascii="Arial" w:eastAsia="Times New Roman" w:hAnsi="Arial" w:cs="Arial"/>
                <w:color w:val="000000"/>
              </w:rPr>
              <w:t>2018</w:t>
            </w:r>
          </w:p>
        </w:tc>
        <w:tc>
          <w:tcPr>
            <w:tcW w:w="4705" w:type="dxa"/>
            <w:tcMar>
              <w:top w:w="113" w:type="dxa"/>
              <w:left w:w="180" w:type="dxa"/>
              <w:bottom w:w="113" w:type="dxa"/>
              <w:right w:w="180" w:type="dxa"/>
            </w:tcMar>
            <w:vAlign w:val="center"/>
            <w:hideMark/>
          </w:tcPr>
          <w:p w:rsidR="00B44D1E" w:rsidRPr="00785442" w:rsidRDefault="00B44D1E" w:rsidP="00785442">
            <w:pPr>
              <w:spacing w:line="240" w:lineRule="auto"/>
              <w:jc w:val="center"/>
              <w:rPr>
                <w:rFonts w:ascii="Arial" w:eastAsia="Times New Roman" w:hAnsi="Arial" w:cs="Arial"/>
                <w:color w:val="000000"/>
              </w:rPr>
            </w:pPr>
            <w:r w:rsidRPr="00785442">
              <w:rPr>
                <w:rFonts w:ascii="Arial" w:hAnsi="Arial" w:cs="Arial"/>
              </w:rPr>
              <w:t>5.1</w:t>
            </w:r>
          </w:p>
        </w:tc>
        <w:tc>
          <w:tcPr>
            <w:tcW w:w="4126" w:type="dxa"/>
            <w:tcMar>
              <w:top w:w="113" w:type="dxa"/>
              <w:left w:w="180" w:type="dxa"/>
              <w:bottom w:w="113" w:type="dxa"/>
              <w:right w:w="180" w:type="dxa"/>
            </w:tcMar>
            <w:vAlign w:val="center"/>
          </w:tcPr>
          <w:p w:rsidR="00B44D1E" w:rsidRPr="00785442" w:rsidRDefault="00B44D1E" w:rsidP="00785442">
            <w:pPr>
              <w:spacing w:line="240" w:lineRule="auto"/>
              <w:jc w:val="center"/>
              <w:rPr>
                <w:rFonts w:ascii="Arial" w:eastAsia="Times New Roman" w:hAnsi="Arial" w:cs="Arial"/>
                <w:color w:val="000000"/>
              </w:rPr>
            </w:pPr>
            <w:r w:rsidRPr="00785442">
              <w:rPr>
                <w:rFonts w:ascii="Arial" w:hAnsi="Arial" w:cs="Arial"/>
              </w:rPr>
              <w:t>3.9</w:t>
            </w:r>
          </w:p>
        </w:tc>
      </w:tr>
      <w:tr w:rsidR="00B44D1E" w:rsidRPr="00785442" w:rsidTr="00456BB7">
        <w:trPr>
          <w:trHeight w:val="273"/>
          <w:tblCellSpacing w:w="20" w:type="dxa"/>
        </w:trPr>
        <w:tc>
          <w:tcPr>
            <w:tcW w:w="1275" w:type="dxa"/>
            <w:tcMar>
              <w:top w:w="113" w:type="dxa"/>
              <w:left w:w="180" w:type="dxa"/>
              <w:bottom w:w="113" w:type="dxa"/>
              <w:right w:w="180" w:type="dxa"/>
            </w:tcMar>
            <w:vAlign w:val="center"/>
          </w:tcPr>
          <w:p w:rsidR="00B44D1E" w:rsidRPr="00785442" w:rsidRDefault="00B44D1E" w:rsidP="00785442">
            <w:pPr>
              <w:spacing w:line="240" w:lineRule="auto"/>
              <w:jc w:val="center"/>
              <w:rPr>
                <w:rFonts w:ascii="Arial" w:eastAsia="Times New Roman" w:hAnsi="Arial" w:cs="Arial"/>
                <w:color w:val="000000"/>
              </w:rPr>
            </w:pPr>
            <w:r w:rsidRPr="00785442">
              <w:rPr>
                <w:rFonts w:ascii="Arial" w:eastAsia="Times New Roman" w:hAnsi="Arial" w:cs="Arial"/>
                <w:color w:val="000000"/>
              </w:rPr>
              <w:t>2017</w:t>
            </w:r>
          </w:p>
        </w:tc>
        <w:tc>
          <w:tcPr>
            <w:tcW w:w="4705" w:type="dxa"/>
            <w:tcMar>
              <w:top w:w="113" w:type="dxa"/>
              <w:left w:w="180" w:type="dxa"/>
              <w:bottom w:w="113" w:type="dxa"/>
              <w:right w:w="180" w:type="dxa"/>
            </w:tcMar>
            <w:vAlign w:val="center"/>
          </w:tcPr>
          <w:p w:rsidR="00B44D1E" w:rsidRPr="00785442" w:rsidRDefault="00B44D1E" w:rsidP="00785442">
            <w:pPr>
              <w:spacing w:line="240" w:lineRule="auto"/>
              <w:jc w:val="center"/>
              <w:rPr>
                <w:rFonts w:ascii="Arial" w:eastAsia="Times New Roman" w:hAnsi="Arial" w:cs="Arial"/>
                <w:color w:val="000000"/>
              </w:rPr>
            </w:pPr>
            <w:r w:rsidRPr="00785442">
              <w:rPr>
                <w:rFonts w:ascii="Arial" w:hAnsi="Arial" w:cs="Arial"/>
              </w:rPr>
              <w:t>1.2</w:t>
            </w:r>
          </w:p>
        </w:tc>
        <w:tc>
          <w:tcPr>
            <w:tcW w:w="4126" w:type="dxa"/>
            <w:tcMar>
              <w:top w:w="113" w:type="dxa"/>
              <w:left w:w="180" w:type="dxa"/>
              <w:bottom w:w="113" w:type="dxa"/>
              <w:right w:w="180" w:type="dxa"/>
            </w:tcMar>
            <w:vAlign w:val="center"/>
          </w:tcPr>
          <w:p w:rsidR="00B44D1E" w:rsidRPr="00785442" w:rsidRDefault="00B44D1E" w:rsidP="00785442">
            <w:pPr>
              <w:spacing w:line="240" w:lineRule="auto"/>
              <w:jc w:val="center"/>
              <w:rPr>
                <w:rFonts w:ascii="Arial" w:eastAsia="Times New Roman" w:hAnsi="Arial" w:cs="Arial"/>
                <w:color w:val="000000"/>
              </w:rPr>
            </w:pPr>
            <w:r w:rsidRPr="00785442">
              <w:rPr>
                <w:rFonts w:ascii="Arial" w:eastAsia="Times New Roman" w:hAnsi="Arial" w:cs="Arial"/>
                <w:color w:val="000000"/>
              </w:rPr>
              <w:t>--</w:t>
            </w:r>
          </w:p>
        </w:tc>
      </w:tr>
    </w:tbl>
    <w:p w:rsidR="008D224F" w:rsidRPr="00785442" w:rsidRDefault="008D224F" w:rsidP="00785442">
      <w:pPr>
        <w:spacing w:line="240" w:lineRule="auto"/>
        <w:rPr>
          <w:rFonts w:ascii="Arial" w:hAnsi="Arial" w:cs="Arial"/>
          <w:b/>
        </w:rPr>
      </w:pPr>
    </w:p>
    <w:p w:rsidR="00083DEE" w:rsidRPr="00785442" w:rsidRDefault="00083DEE" w:rsidP="00295CA1">
      <w:pPr>
        <w:rPr>
          <w:rFonts w:ascii="Arial" w:hAnsi="Arial" w:cs="Arial"/>
        </w:rPr>
      </w:pPr>
      <w:r w:rsidRPr="00785442">
        <w:rPr>
          <w:rFonts w:ascii="Arial" w:hAnsi="Arial" w:cs="Arial"/>
        </w:rPr>
        <w:t>Our pay quartiles percentages (the number of employees in each band):</w:t>
      </w:r>
    </w:p>
    <w:tbl>
      <w:tblPr>
        <w:tblW w:w="10057" w:type="dxa"/>
        <w:tblLayout w:type="fixed"/>
        <w:tblLook w:val="04A0" w:firstRow="1" w:lastRow="0" w:firstColumn="1" w:lastColumn="0" w:noHBand="0" w:noVBand="1"/>
      </w:tblPr>
      <w:tblGrid>
        <w:gridCol w:w="985"/>
        <w:gridCol w:w="4961"/>
        <w:gridCol w:w="1559"/>
        <w:gridCol w:w="2552"/>
      </w:tblGrid>
      <w:tr w:rsidR="00941C06" w:rsidRPr="00785442" w:rsidTr="00941C06">
        <w:tc>
          <w:tcPr>
            <w:tcW w:w="985"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941C06" w:rsidRPr="00785442" w:rsidRDefault="00941C06" w:rsidP="00987C2D">
            <w:pPr>
              <w:jc w:val="center"/>
              <w:rPr>
                <w:rFonts w:ascii="Arial" w:eastAsia="Times New Roman" w:hAnsi="Arial" w:cs="Arial"/>
                <w:b/>
                <w:bCs/>
                <w:color w:val="000000"/>
              </w:rPr>
            </w:pPr>
            <w:r w:rsidRPr="00785442">
              <w:rPr>
                <w:rFonts w:ascii="Arial" w:eastAsia="Times New Roman" w:hAnsi="Arial" w:cs="Arial"/>
                <w:b/>
                <w:bCs/>
                <w:color w:val="000000"/>
              </w:rPr>
              <w:t>Band</w:t>
            </w:r>
          </w:p>
        </w:tc>
        <w:tc>
          <w:tcPr>
            <w:tcW w:w="4961" w:type="dxa"/>
            <w:tcBorders>
              <w:top w:val="single" w:sz="6" w:space="0" w:color="ABABAB"/>
              <w:left w:val="single" w:sz="6" w:space="0" w:color="ABABAB"/>
              <w:bottom w:val="single" w:sz="6" w:space="0" w:color="ABABAB"/>
              <w:right w:val="single" w:sz="6" w:space="0" w:color="ABABAB"/>
            </w:tcBorders>
            <w:vAlign w:val="center"/>
          </w:tcPr>
          <w:p w:rsidR="00941C06" w:rsidRPr="00785442" w:rsidRDefault="00941C06" w:rsidP="00987C2D">
            <w:pPr>
              <w:jc w:val="center"/>
              <w:rPr>
                <w:rFonts w:ascii="Arial" w:eastAsia="Times New Roman" w:hAnsi="Arial" w:cs="Arial"/>
                <w:b/>
                <w:bCs/>
                <w:color w:val="000000"/>
              </w:rPr>
            </w:pPr>
            <w:r w:rsidRPr="00785442">
              <w:rPr>
                <w:rFonts w:ascii="Arial" w:eastAsia="Times New Roman" w:hAnsi="Arial" w:cs="Arial"/>
                <w:b/>
                <w:bCs/>
                <w:color w:val="000000"/>
              </w:rPr>
              <w:t>Description</w:t>
            </w:r>
          </w:p>
        </w:tc>
        <w:tc>
          <w:tcPr>
            <w:tcW w:w="1559"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hideMark/>
          </w:tcPr>
          <w:p w:rsidR="00941C06" w:rsidRPr="00785442" w:rsidRDefault="00941C06" w:rsidP="00987C2D">
            <w:pPr>
              <w:jc w:val="center"/>
              <w:rPr>
                <w:rFonts w:ascii="Arial" w:eastAsia="Times New Roman" w:hAnsi="Arial" w:cs="Arial"/>
                <w:b/>
                <w:bCs/>
                <w:color w:val="000000"/>
              </w:rPr>
            </w:pPr>
            <w:r w:rsidRPr="00785442">
              <w:rPr>
                <w:rFonts w:ascii="Arial" w:eastAsia="Times New Roman" w:hAnsi="Arial" w:cs="Arial"/>
                <w:b/>
                <w:bCs/>
                <w:color w:val="000000"/>
              </w:rPr>
              <w:t>Males</w:t>
            </w:r>
          </w:p>
        </w:tc>
        <w:tc>
          <w:tcPr>
            <w:tcW w:w="2552"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hideMark/>
          </w:tcPr>
          <w:p w:rsidR="00941C06" w:rsidRPr="00785442" w:rsidRDefault="00941C06" w:rsidP="00987C2D">
            <w:pPr>
              <w:jc w:val="center"/>
              <w:rPr>
                <w:rFonts w:ascii="Arial" w:eastAsia="Times New Roman" w:hAnsi="Arial" w:cs="Arial"/>
                <w:b/>
                <w:bCs/>
                <w:color w:val="000000"/>
              </w:rPr>
            </w:pPr>
            <w:r w:rsidRPr="00785442">
              <w:rPr>
                <w:rFonts w:ascii="Arial" w:eastAsia="Times New Roman" w:hAnsi="Arial" w:cs="Arial"/>
                <w:b/>
                <w:bCs/>
                <w:color w:val="000000"/>
              </w:rPr>
              <w:t>Females</w:t>
            </w:r>
          </w:p>
        </w:tc>
      </w:tr>
      <w:tr w:rsidR="00941C06" w:rsidRPr="00785442" w:rsidTr="00941C06">
        <w:tc>
          <w:tcPr>
            <w:tcW w:w="985"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941C06" w:rsidRPr="00785442" w:rsidRDefault="00941C06" w:rsidP="00987C2D">
            <w:pPr>
              <w:jc w:val="center"/>
              <w:rPr>
                <w:rFonts w:ascii="Arial" w:eastAsia="Times New Roman" w:hAnsi="Arial" w:cs="Arial"/>
                <w:color w:val="000000"/>
              </w:rPr>
            </w:pPr>
            <w:r w:rsidRPr="00785442">
              <w:rPr>
                <w:rFonts w:ascii="Arial" w:eastAsia="Times New Roman" w:hAnsi="Arial" w:cs="Arial"/>
                <w:color w:val="000000"/>
              </w:rPr>
              <w:t>D</w:t>
            </w:r>
          </w:p>
        </w:tc>
        <w:tc>
          <w:tcPr>
            <w:tcW w:w="4961" w:type="dxa"/>
            <w:tcBorders>
              <w:top w:val="single" w:sz="6" w:space="0" w:color="ABABAB"/>
              <w:left w:val="single" w:sz="6" w:space="0" w:color="ABABAB"/>
              <w:bottom w:val="single" w:sz="6" w:space="0" w:color="ABABAB"/>
              <w:right w:val="single" w:sz="6" w:space="0" w:color="ABABAB"/>
            </w:tcBorders>
            <w:vAlign w:val="center"/>
          </w:tcPr>
          <w:p w:rsidR="00941C06" w:rsidRPr="00785442" w:rsidRDefault="00941C06" w:rsidP="00987C2D">
            <w:pPr>
              <w:jc w:val="center"/>
              <w:rPr>
                <w:rFonts w:ascii="Arial" w:eastAsia="Times New Roman" w:hAnsi="Arial" w:cs="Arial"/>
              </w:rPr>
            </w:pPr>
            <w:r w:rsidRPr="00785442">
              <w:rPr>
                <w:rFonts w:ascii="Arial" w:hAnsi="Arial" w:cs="Arial"/>
              </w:rPr>
              <w:t xml:space="preserve">Includes all employees whose standard hourly rate places them </w:t>
            </w:r>
            <w:r w:rsidRPr="00785442">
              <w:rPr>
                <w:rFonts w:ascii="Arial" w:hAnsi="Arial" w:cs="Arial"/>
                <w:b/>
                <w:bCs/>
              </w:rPr>
              <w:t>in the upper quartile</w:t>
            </w:r>
          </w:p>
        </w:tc>
        <w:tc>
          <w:tcPr>
            <w:tcW w:w="1559"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7B02B3" w:rsidP="007B02B3">
            <w:pPr>
              <w:jc w:val="center"/>
              <w:rPr>
                <w:rFonts w:ascii="Arial" w:eastAsia="Times New Roman" w:hAnsi="Arial" w:cs="Arial"/>
                <w:color w:val="000000"/>
              </w:rPr>
            </w:pPr>
            <w:r w:rsidRPr="00785442">
              <w:rPr>
                <w:rFonts w:ascii="Arial" w:eastAsia="Times New Roman" w:hAnsi="Arial" w:cs="Arial"/>
                <w:color w:val="000000"/>
              </w:rPr>
              <w:t xml:space="preserve">28.33  </w:t>
            </w:r>
          </w:p>
        </w:tc>
        <w:tc>
          <w:tcPr>
            <w:tcW w:w="2552"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7B02B3" w:rsidP="007B02B3">
            <w:pPr>
              <w:jc w:val="center"/>
              <w:rPr>
                <w:rFonts w:ascii="Arial" w:eastAsia="Times New Roman" w:hAnsi="Arial" w:cs="Arial"/>
                <w:color w:val="000000"/>
              </w:rPr>
            </w:pPr>
            <w:r w:rsidRPr="00785442">
              <w:rPr>
                <w:rFonts w:ascii="Arial" w:eastAsia="Times New Roman" w:hAnsi="Arial" w:cs="Arial"/>
                <w:color w:val="000000"/>
              </w:rPr>
              <w:t xml:space="preserve">71.67  </w:t>
            </w:r>
          </w:p>
        </w:tc>
      </w:tr>
      <w:tr w:rsidR="00941C06" w:rsidRPr="00785442" w:rsidTr="00941C06">
        <w:tc>
          <w:tcPr>
            <w:tcW w:w="985"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941C06" w:rsidRPr="00785442" w:rsidRDefault="00941C06" w:rsidP="00987C2D">
            <w:pPr>
              <w:jc w:val="center"/>
              <w:rPr>
                <w:rFonts w:ascii="Arial" w:eastAsia="Times New Roman" w:hAnsi="Arial" w:cs="Arial"/>
                <w:color w:val="000000"/>
              </w:rPr>
            </w:pPr>
            <w:r w:rsidRPr="00785442">
              <w:rPr>
                <w:rFonts w:ascii="Arial" w:eastAsia="Times New Roman" w:hAnsi="Arial" w:cs="Arial"/>
                <w:color w:val="000000"/>
              </w:rPr>
              <w:t>C</w:t>
            </w:r>
          </w:p>
        </w:tc>
        <w:tc>
          <w:tcPr>
            <w:tcW w:w="4961" w:type="dxa"/>
            <w:tcBorders>
              <w:top w:val="single" w:sz="6" w:space="0" w:color="ABABAB"/>
              <w:left w:val="single" w:sz="6" w:space="0" w:color="ABABAB"/>
              <w:bottom w:val="single" w:sz="6" w:space="0" w:color="ABABAB"/>
              <w:right w:val="single" w:sz="6" w:space="0" w:color="ABABAB"/>
            </w:tcBorders>
            <w:vAlign w:val="center"/>
          </w:tcPr>
          <w:p w:rsidR="00941C06" w:rsidRPr="00785442" w:rsidRDefault="00941C06" w:rsidP="00987C2D">
            <w:pPr>
              <w:jc w:val="center"/>
              <w:rPr>
                <w:rFonts w:ascii="Arial" w:eastAsia="Times New Roman" w:hAnsi="Arial" w:cs="Arial"/>
              </w:rPr>
            </w:pPr>
            <w:r w:rsidRPr="00785442">
              <w:rPr>
                <w:rFonts w:ascii="Arial" w:hAnsi="Arial" w:cs="Arial"/>
              </w:rPr>
              <w:t xml:space="preserve">Includes all employees whose standard hourly rate places them </w:t>
            </w:r>
            <w:r w:rsidRPr="00785442">
              <w:rPr>
                <w:rFonts w:ascii="Arial" w:hAnsi="Arial" w:cs="Arial"/>
                <w:b/>
                <w:bCs/>
              </w:rPr>
              <w:t>in the upper middle quartile</w:t>
            </w:r>
          </w:p>
        </w:tc>
        <w:tc>
          <w:tcPr>
            <w:tcW w:w="1559"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7B02B3" w:rsidP="007B02B3">
            <w:pPr>
              <w:jc w:val="center"/>
              <w:rPr>
                <w:rFonts w:ascii="Arial" w:eastAsia="Times New Roman" w:hAnsi="Arial" w:cs="Arial"/>
                <w:color w:val="000000"/>
              </w:rPr>
            </w:pPr>
            <w:r w:rsidRPr="00785442">
              <w:rPr>
                <w:rFonts w:ascii="Arial" w:eastAsia="Times New Roman" w:hAnsi="Arial" w:cs="Arial"/>
                <w:color w:val="000000"/>
              </w:rPr>
              <w:t xml:space="preserve">26.67%  </w:t>
            </w:r>
          </w:p>
        </w:tc>
        <w:tc>
          <w:tcPr>
            <w:tcW w:w="2552"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7B02B3" w:rsidP="007B02B3">
            <w:pPr>
              <w:jc w:val="center"/>
              <w:rPr>
                <w:rFonts w:ascii="Arial" w:eastAsia="Times New Roman" w:hAnsi="Arial" w:cs="Arial"/>
                <w:color w:val="000000"/>
              </w:rPr>
            </w:pPr>
            <w:r w:rsidRPr="00785442">
              <w:rPr>
                <w:rFonts w:ascii="Arial" w:eastAsia="Times New Roman" w:hAnsi="Arial" w:cs="Arial"/>
                <w:color w:val="000000"/>
              </w:rPr>
              <w:t>73.33</w:t>
            </w:r>
            <w:r w:rsidR="00941C06" w:rsidRPr="00785442">
              <w:rPr>
                <w:rFonts w:ascii="Arial" w:eastAsia="Times New Roman" w:hAnsi="Arial" w:cs="Arial"/>
                <w:color w:val="000000"/>
              </w:rPr>
              <w:t xml:space="preserve">%  </w:t>
            </w:r>
          </w:p>
        </w:tc>
      </w:tr>
      <w:tr w:rsidR="00941C06" w:rsidRPr="00785442" w:rsidTr="00941C06">
        <w:tc>
          <w:tcPr>
            <w:tcW w:w="985"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941C06" w:rsidRPr="00785442" w:rsidRDefault="00941C06" w:rsidP="00987C2D">
            <w:pPr>
              <w:jc w:val="center"/>
              <w:rPr>
                <w:rFonts w:ascii="Arial" w:eastAsia="Times New Roman" w:hAnsi="Arial" w:cs="Arial"/>
                <w:color w:val="000000"/>
              </w:rPr>
            </w:pPr>
            <w:r w:rsidRPr="00785442">
              <w:rPr>
                <w:rFonts w:ascii="Arial" w:eastAsia="Times New Roman" w:hAnsi="Arial" w:cs="Arial"/>
                <w:color w:val="000000"/>
              </w:rPr>
              <w:t>B</w:t>
            </w:r>
          </w:p>
        </w:tc>
        <w:tc>
          <w:tcPr>
            <w:tcW w:w="4961" w:type="dxa"/>
            <w:tcBorders>
              <w:top w:val="single" w:sz="6" w:space="0" w:color="ABABAB"/>
              <w:left w:val="single" w:sz="6" w:space="0" w:color="ABABAB"/>
              <w:bottom w:val="single" w:sz="6" w:space="0" w:color="ABABAB"/>
              <w:right w:val="single" w:sz="6" w:space="0" w:color="ABABAB"/>
            </w:tcBorders>
            <w:vAlign w:val="center"/>
          </w:tcPr>
          <w:p w:rsidR="00941C06" w:rsidRPr="00785442" w:rsidRDefault="00941C06" w:rsidP="00987C2D">
            <w:pPr>
              <w:jc w:val="center"/>
              <w:rPr>
                <w:rFonts w:ascii="Arial" w:eastAsia="Times New Roman" w:hAnsi="Arial" w:cs="Arial"/>
              </w:rPr>
            </w:pPr>
            <w:r w:rsidRPr="00785442">
              <w:rPr>
                <w:rFonts w:ascii="Arial" w:hAnsi="Arial" w:cs="Arial"/>
              </w:rPr>
              <w:t xml:space="preserve">Includes all employees whose standard hourly rate places them </w:t>
            </w:r>
            <w:r w:rsidRPr="00785442">
              <w:rPr>
                <w:rFonts w:ascii="Arial" w:hAnsi="Arial" w:cs="Arial"/>
                <w:b/>
                <w:bCs/>
              </w:rPr>
              <w:t>in the lower middle quartile</w:t>
            </w:r>
          </w:p>
        </w:tc>
        <w:tc>
          <w:tcPr>
            <w:tcW w:w="1559"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7B02B3" w:rsidP="007B02B3">
            <w:pPr>
              <w:jc w:val="center"/>
              <w:rPr>
                <w:rFonts w:ascii="Arial" w:eastAsia="Times New Roman" w:hAnsi="Arial" w:cs="Arial"/>
                <w:color w:val="000000"/>
              </w:rPr>
            </w:pPr>
            <w:r w:rsidRPr="00785442">
              <w:rPr>
                <w:rFonts w:ascii="Arial" w:eastAsia="Times New Roman" w:hAnsi="Arial" w:cs="Arial"/>
                <w:color w:val="000000"/>
              </w:rPr>
              <w:t>25</w:t>
            </w:r>
            <w:r w:rsidR="00941C06" w:rsidRPr="00785442">
              <w:rPr>
                <w:rFonts w:ascii="Arial" w:eastAsia="Times New Roman" w:hAnsi="Arial" w:cs="Arial"/>
                <w:color w:val="000000"/>
              </w:rPr>
              <w:t xml:space="preserve">%  </w:t>
            </w:r>
          </w:p>
        </w:tc>
        <w:tc>
          <w:tcPr>
            <w:tcW w:w="2552"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7B02B3" w:rsidP="007B02B3">
            <w:pPr>
              <w:jc w:val="center"/>
              <w:rPr>
                <w:rFonts w:ascii="Arial" w:eastAsia="Times New Roman" w:hAnsi="Arial" w:cs="Arial"/>
                <w:color w:val="000000"/>
              </w:rPr>
            </w:pPr>
            <w:r w:rsidRPr="00785442">
              <w:rPr>
                <w:rFonts w:ascii="Arial" w:eastAsia="Times New Roman" w:hAnsi="Arial" w:cs="Arial"/>
                <w:color w:val="000000"/>
              </w:rPr>
              <w:t>75</w:t>
            </w:r>
            <w:r w:rsidR="00941C06" w:rsidRPr="00785442">
              <w:rPr>
                <w:rFonts w:ascii="Arial" w:eastAsia="Times New Roman" w:hAnsi="Arial" w:cs="Arial"/>
                <w:color w:val="000000"/>
              </w:rPr>
              <w:t xml:space="preserve">%  </w:t>
            </w:r>
          </w:p>
        </w:tc>
      </w:tr>
      <w:tr w:rsidR="00941C06" w:rsidRPr="00785442" w:rsidTr="00941C06">
        <w:tc>
          <w:tcPr>
            <w:tcW w:w="985"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941C06" w:rsidRPr="00785442" w:rsidRDefault="00941C06" w:rsidP="00987C2D">
            <w:pPr>
              <w:jc w:val="center"/>
              <w:rPr>
                <w:rFonts w:ascii="Arial" w:eastAsia="Times New Roman" w:hAnsi="Arial" w:cs="Arial"/>
                <w:color w:val="000000"/>
              </w:rPr>
            </w:pPr>
            <w:r w:rsidRPr="00785442">
              <w:rPr>
                <w:rFonts w:ascii="Arial" w:eastAsia="Times New Roman" w:hAnsi="Arial" w:cs="Arial"/>
                <w:color w:val="000000"/>
              </w:rPr>
              <w:t>A</w:t>
            </w:r>
          </w:p>
        </w:tc>
        <w:tc>
          <w:tcPr>
            <w:tcW w:w="4961" w:type="dxa"/>
            <w:tcBorders>
              <w:top w:val="single" w:sz="6" w:space="0" w:color="ABABAB"/>
              <w:left w:val="single" w:sz="6" w:space="0" w:color="ABABAB"/>
              <w:bottom w:val="single" w:sz="6" w:space="0" w:color="ABABAB"/>
              <w:right w:val="single" w:sz="6" w:space="0" w:color="ABABAB"/>
            </w:tcBorders>
            <w:vAlign w:val="center"/>
          </w:tcPr>
          <w:p w:rsidR="00941C06" w:rsidRPr="00785442" w:rsidRDefault="00941C06" w:rsidP="00987C2D">
            <w:pPr>
              <w:jc w:val="center"/>
              <w:rPr>
                <w:rFonts w:ascii="Arial" w:eastAsia="Times New Roman" w:hAnsi="Arial" w:cs="Arial"/>
              </w:rPr>
            </w:pPr>
            <w:r w:rsidRPr="00785442">
              <w:rPr>
                <w:rFonts w:ascii="Arial" w:hAnsi="Arial" w:cs="Arial"/>
              </w:rPr>
              <w:t xml:space="preserve">Includes all employees whose standard hourly rate places them </w:t>
            </w:r>
            <w:r w:rsidRPr="00785442">
              <w:rPr>
                <w:rFonts w:ascii="Arial" w:hAnsi="Arial" w:cs="Arial"/>
                <w:b/>
                <w:bCs/>
              </w:rPr>
              <w:t>in the lower quartile</w:t>
            </w:r>
          </w:p>
        </w:tc>
        <w:tc>
          <w:tcPr>
            <w:tcW w:w="1559"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7B02B3" w:rsidP="007B02B3">
            <w:pPr>
              <w:jc w:val="center"/>
              <w:rPr>
                <w:rFonts w:ascii="Arial" w:eastAsia="Times New Roman" w:hAnsi="Arial" w:cs="Arial"/>
                <w:color w:val="000000"/>
              </w:rPr>
            </w:pPr>
            <w:r w:rsidRPr="00785442">
              <w:rPr>
                <w:rFonts w:ascii="Arial" w:eastAsia="Times New Roman" w:hAnsi="Arial" w:cs="Arial"/>
                <w:color w:val="000000"/>
              </w:rPr>
              <w:t>23.33</w:t>
            </w:r>
            <w:r w:rsidR="00941C06" w:rsidRPr="00785442">
              <w:rPr>
                <w:rFonts w:ascii="Arial" w:eastAsia="Times New Roman" w:hAnsi="Arial" w:cs="Arial"/>
                <w:color w:val="000000"/>
              </w:rPr>
              <w:t xml:space="preserve">%  </w:t>
            </w:r>
          </w:p>
        </w:tc>
        <w:tc>
          <w:tcPr>
            <w:tcW w:w="2552"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7B02B3" w:rsidP="007B02B3">
            <w:pPr>
              <w:jc w:val="center"/>
              <w:rPr>
                <w:rFonts w:ascii="Arial" w:eastAsia="Times New Roman" w:hAnsi="Arial" w:cs="Arial"/>
                <w:color w:val="000000"/>
              </w:rPr>
            </w:pPr>
            <w:r w:rsidRPr="00785442">
              <w:rPr>
                <w:rFonts w:ascii="Arial" w:eastAsia="Times New Roman" w:hAnsi="Arial" w:cs="Arial"/>
                <w:color w:val="000000"/>
              </w:rPr>
              <w:t>71.67</w:t>
            </w:r>
            <w:r w:rsidR="00941C06" w:rsidRPr="00785442">
              <w:rPr>
                <w:rFonts w:ascii="Arial" w:eastAsia="Times New Roman" w:hAnsi="Arial" w:cs="Arial"/>
                <w:color w:val="000000"/>
              </w:rPr>
              <w:t xml:space="preserve">%  </w:t>
            </w:r>
          </w:p>
        </w:tc>
      </w:tr>
      <w:tr w:rsidR="00941C06" w:rsidRPr="00785442" w:rsidTr="00941C06">
        <w:tc>
          <w:tcPr>
            <w:tcW w:w="985"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941C06" w:rsidRPr="00785442" w:rsidRDefault="00941C06" w:rsidP="00987C2D">
            <w:pPr>
              <w:jc w:val="center"/>
              <w:rPr>
                <w:rFonts w:ascii="Arial" w:eastAsia="Times New Roman" w:hAnsi="Arial" w:cs="Arial"/>
                <w:color w:val="000000"/>
              </w:rPr>
            </w:pPr>
            <w:r w:rsidRPr="00785442">
              <w:rPr>
                <w:rFonts w:ascii="Arial" w:eastAsia="Times New Roman" w:hAnsi="Arial" w:cs="Arial"/>
                <w:color w:val="000000"/>
              </w:rPr>
              <w:t>All Bands</w:t>
            </w:r>
          </w:p>
        </w:tc>
        <w:tc>
          <w:tcPr>
            <w:tcW w:w="4961" w:type="dxa"/>
            <w:tcBorders>
              <w:top w:val="single" w:sz="6" w:space="0" w:color="ABABAB"/>
              <w:left w:val="single" w:sz="6" w:space="0" w:color="ABABAB"/>
              <w:bottom w:val="single" w:sz="6" w:space="0" w:color="ABABAB"/>
              <w:right w:val="single" w:sz="6" w:space="0" w:color="ABABAB"/>
            </w:tcBorders>
            <w:vAlign w:val="center"/>
          </w:tcPr>
          <w:p w:rsidR="00941C06" w:rsidRPr="00785442" w:rsidRDefault="00941C06" w:rsidP="00987C2D">
            <w:pPr>
              <w:jc w:val="center"/>
              <w:rPr>
                <w:rFonts w:ascii="Arial" w:eastAsia="Times New Roman" w:hAnsi="Arial" w:cs="Arial"/>
                <w:color w:val="000000"/>
              </w:rPr>
            </w:pPr>
            <w:r w:rsidRPr="00785442">
              <w:rPr>
                <w:rFonts w:ascii="Arial" w:eastAsia="Times New Roman" w:hAnsi="Arial" w:cs="Arial"/>
                <w:color w:val="000000"/>
              </w:rPr>
              <w:t>All employees</w:t>
            </w:r>
          </w:p>
        </w:tc>
        <w:tc>
          <w:tcPr>
            <w:tcW w:w="1559"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941C06" w:rsidP="007B02B3">
            <w:pPr>
              <w:jc w:val="center"/>
              <w:rPr>
                <w:rFonts w:ascii="Arial" w:eastAsia="Times New Roman" w:hAnsi="Arial" w:cs="Arial"/>
                <w:color w:val="000000"/>
              </w:rPr>
            </w:pPr>
            <w:r w:rsidRPr="00785442">
              <w:rPr>
                <w:rFonts w:ascii="Arial" w:eastAsia="Times New Roman" w:hAnsi="Arial" w:cs="Arial"/>
                <w:color w:val="000000"/>
              </w:rPr>
              <w:t>2</w:t>
            </w:r>
            <w:r w:rsidR="007B02B3" w:rsidRPr="00785442">
              <w:rPr>
                <w:rFonts w:ascii="Arial" w:eastAsia="Times New Roman" w:hAnsi="Arial" w:cs="Arial"/>
                <w:color w:val="000000"/>
              </w:rPr>
              <w:t>5.83</w:t>
            </w:r>
            <w:r w:rsidRPr="00785442">
              <w:rPr>
                <w:rFonts w:ascii="Arial" w:eastAsia="Times New Roman" w:hAnsi="Arial" w:cs="Arial"/>
                <w:color w:val="000000"/>
              </w:rPr>
              <w:t>%  (</w:t>
            </w:r>
            <w:r w:rsidR="007B02B3" w:rsidRPr="00785442">
              <w:rPr>
                <w:rFonts w:ascii="Arial" w:eastAsia="Times New Roman" w:hAnsi="Arial" w:cs="Arial"/>
                <w:color w:val="000000"/>
              </w:rPr>
              <w:t>62</w:t>
            </w:r>
            <w:r w:rsidRPr="00785442">
              <w:rPr>
                <w:rFonts w:ascii="Arial" w:eastAsia="Times New Roman" w:hAnsi="Arial" w:cs="Arial"/>
                <w:color w:val="000000"/>
              </w:rPr>
              <w:t>)</w:t>
            </w:r>
          </w:p>
        </w:tc>
        <w:tc>
          <w:tcPr>
            <w:tcW w:w="2552" w:type="dxa"/>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13" w:type="dxa"/>
              <w:left w:w="180" w:type="dxa"/>
              <w:bottom w:w="113" w:type="dxa"/>
              <w:right w:w="180" w:type="dxa"/>
            </w:tcMar>
            <w:vAlign w:val="center"/>
          </w:tcPr>
          <w:p w:rsidR="00941C06" w:rsidRPr="00785442" w:rsidRDefault="007B02B3" w:rsidP="00987C2D">
            <w:pPr>
              <w:jc w:val="center"/>
              <w:rPr>
                <w:rFonts w:ascii="Arial" w:eastAsia="Times New Roman" w:hAnsi="Arial" w:cs="Arial"/>
                <w:color w:val="000000"/>
              </w:rPr>
            </w:pPr>
            <w:r w:rsidRPr="00785442">
              <w:rPr>
                <w:rFonts w:ascii="Arial" w:eastAsia="Times New Roman" w:hAnsi="Arial" w:cs="Arial"/>
                <w:color w:val="000000"/>
              </w:rPr>
              <w:t>74.17%  (178</w:t>
            </w:r>
            <w:r w:rsidR="00941C06" w:rsidRPr="00785442">
              <w:rPr>
                <w:rFonts w:ascii="Arial" w:eastAsia="Times New Roman" w:hAnsi="Arial" w:cs="Arial"/>
                <w:color w:val="000000"/>
              </w:rPr>
              <w:t>)</w:t>
            </w:r>
          </w:p>
        </w:tc>
      </w:tr>
    </w:tbl>
    <w:p w:rsidR="00083DEE" w:rsidRPr="00785442" w:rsidRDefault="00EF5255" w:rsidP="00295CA1">
      <w:pPr>
        <w:pStyle w:val="NormalWeb"/>
        <w:jc w:val="both"/>
        <w:rPr>
          <w:color w:val="000000"/>
          <w:sz w:val="22"/>
          <w:szCs w:val="22"/>
        </w:rPr>
      </w:pPr>
      <w:r w:rsidRPr="00785442">
        <w:rPr>
          <w:color w:val="000000"/>
          <w:sz w:val="22"/>
          <w:szCs w:val="22"/>
        </w:rPr>
        <w:t>However</w:t>
      </w:r>
      <w:r w:rsidR="0066169F" w:rsidRPr="00785442">
        <w:rPr>
          <w:color w:val="000000"/>
          <w:sz w:val="22"/>
          <w:szCs w:val="22"/>
        </w:rPr>
        <w:t>,</w:t>
      </w:r>
      <w:r w:rsidRPr="00785442">
        <w:rPr>
          <w:color w:val="000000"/>
          <w:sz w:val="22"/>
          <w:szCs w:val="22"/>
        </w:rPr>
        <w:t xml:space="preserve"> this data doesn’t tell us enough about our gender pay and what it means for </w:t>
      </w:r>
      <w:r w:rsidR="0066169F" w:rsidRPr="00785442">
        <w:rPr>
          <w:color w:val="000000"/>
          <w:sz w:val="22"/>
          <w:szCs w:val="22"/>
        </w:rPr>
        <w:t>S</w:t>
      </w:r>
      <w:r w:rsidRPr="00785442">
        <w:rPr>
          <w:color w:val="000000"/>
          <w:sz w:val="22"/>
          <w:szCs w:val="22"/>
        </w:rPr>
        <w:t>t. Joseph’s Hospice and how we compare with other organisations, other charities, or organisations with similar numbers of staff so we have undertaken some further benchmarking</w:t>
      </w:r>
      <w:r w:rsidR="00243F4B" w:rsidRPr="00785442">
        <w:rPr>
          <w:color w:val="000000"/>
          <w:sz w:val="22"/>
          <w:szCs w:val="22"/>
        </w:rPr>
        <w:t>.</w:t>
      </w:r>
    </w:p>
    <w:p w:rsidR="00EF5255" w:rsidRPr="00785442" w:rsidRDefault="00EF5255" w:rsidP="00785442">
      <w:pPr>
        <w:pStyle w:val="Heading1"/>
        <w:numPr>
          <w:ilvl w:val="0"/>
          <w:numId w:val="7"/>
        </w:numPr>
        <w:rPr>
          <w:rFonts w:ascii="Arial" w:hAnsi="Arial" w:cs="Arial"/>
          <w:b/>
          <w:color w:val="auto"/>
          <w:sz w:val="22"/>
          <w:szCs w:val="22"/>
        </w:rPr>
      </w:pPr>
      <w:r w:rsidRPr="00785442">
        <w:rPr>
          <w:rFonts w:ascii="Arial" w:hAnsi="Arial" w:cs="Arial"/>
          <w:b/>
          <w:color w:val="auto"/>
          <w:sz w:val="22"/>
          <w:szCs w:val="22"/>
        </w:rPr>
        <w:t>Benchmarking and narrative</w:t>
      </w:r>
    </w:p>
    <w:p w:rsidR="00EF5255" w:rsidRPr="00785442" w:rsidRDefault="005B0B05" w:rsidP="00295CA1">
      <w:pPr>
        <w:pStyle w:val="NormalWeb"/>
        <w:jc w:val="both"/>
        <w:rPr>
          <w:color w:val="000000"/>
          <w:sz w:val="22"/>
          <w:szCs w:val="22"/>
        </w:rPr>
      </w:pPr>
      <w:r w:rsidRPr="00785442">
        <w:rPr>
          <w:color w:val="000000"/>
          <w:sz w:val="22"/>
          <w:szCs w:val="22"/>
        </w:rPr>
        <w:t xml:space="preserve">The following analysis benchmarks St </w:t>
      </w:r>
      <w:r w:rsidR="00295CA1" w:rsidRPr="00785442">
        <w:rPr>
          <w:color w:val="000000"/>
          <w:sz w:val="22"/>
          <w:szCs w:val="22"/>
        </w:rPr>
        <w:t>Joseph’s</w:t>
      </w:r>
      <w:r w:rsidRPr="00785442">
        <w:rPr>
          <w:color w:val="000000"/>
          <w:sz w:val="22"/>
          <w:szCs w:val="22"/>
        </w:rPr>
        <w:t xml:space="preserve"> Hospice data against benchmarks derived from participants in the XpertHR Gender Pay Gap reporting service</w:t>
      </w:r>
      <w:r w:rsidR="00295CA1" w:rsidRPr="00785442">
        <w:rPr>
          <w:color w:val="000000"/>
          <w:sz w:val="22"/>
          <w:szCs w:val="22"/>
        </w:rPr>
        <w:t>, which includes</w:t>
      </w:r>
    </w:p>
    <w:p w:rsidR="005B0B05" w:rsidRPr="00785442" w:rsidRDefault="005B0B05" w:rsidP="00295CA1">
      <w:pPr>
        <w:pStyle w:val="NormalWeb"/>
        <w:numPr>
          <w:ilvl w:val="0"/>
          <w:numId w:val="6"/>
        </w:numPr>
        <w:jc w:val="both"/>
        <w:rPr>
          <w:color w:val="000000"/>
          <w:sz w:val="22"/>
          <w:szCs w:val="22"/>
        </w:rPr>
      </w:pPr>
      <w:r w:rsidRPr="00785442">
        <w:rPr>
          <w:color w:val="000000"/>
          <w:sz w:val="22"/>
          <w:szCs w:val="22"/>
        </w:rPr>
        <w:t>Whole sample – all organisations</w:t>
      </w:r>
    </w:p>
    <w:p w:rsidR="005B0B05" w:rsidRPr="00785442" w:rsidRDefault="005B0B05" w:rsidP="00295CA1">
      <w:pPr>
        <w:pStyle w:val="NormalWeb"/>
        <w:numPr>
          <w:ilvl w:val="0"/>
          <w:numId w:val="6"/>
        </w:numPr>
        <w:jc w:val="both"/>
        <w:rPr>
          <w:color w:val="000000"/>
          <w:sz w:val="22"/>
          <w:szCs w:val="22"/>
        </w:rPr>
      </w:pPr>
      <w:r w:rsidRPr="00785442">
        <w:rPr>
          <w:color w:val="000000"/>
          <w:sz w:val="22"/>
          <w:szCs w:val="22"/>
        </w:rPr>
        <w:t xml:space="preserve">Sector – </w:t>
      </w:r>
      <w:r w:rsidR="00295CA1" w:rsidRPr="00785442">
        <w:rPr>
          <w:color w:val="000000"/>
          <w:sz w:val="22"/>
          <w:szCs w:val="22"/>
        </w:rPr>
        <w:t>organisations</w:t>
      </w:r>
      <w:r w:rsidRPr="00785442">
        <w:rPr>
          <w:color w:val="000000"/>
          <w:sz w:val="22"/>
          <w:szCs w:val="22"/>
        </w:rPr>
        <w:t xml:space="preserve"> in the same </w:t>
      </w:r>
      <w:r w:rsidR="00295CA1" w:rsidRPr="00785442">
        <w:rPr>
          <w:color w:val="000000"/>
          <w:sz w:val="22"/>
          <w:szCs w:val="22"/>
        </w:rPr>
        <w:t>broad</w:t>
      </w:r>
      <w:r w:rsidRPr="00785442">
        <w:rPr>
          <w:color w:val="000000"/>
          <w:sz w:val="22"/>
          <w:szCs w:val="22"/>
        </w:rPr>
        <w:t xml:space="preserve"> Sector – Charities/ Not for profit</w:t>
      </w:r>
    </w:p>
    <w:p w:rsidR="005B0B05" w:rsidRPr="00785442" w:rsidRDefault="005B0B05" w:rsidP="00295CA1">
      <w:pPr>
        <w:pStyle w:val="NormalWeb"/>
        <w:numPr>
          <w:ilvl w:val="0"/>
          <w:numId w:val="6"/>
        </w:numPr>
        <w:jc w:val="both"/>
        <w:rPr>
          <w:color w:val="000000"/>
          <w:sz w:val="22"/>
          <w:szCs w:val="22"/>
        </w:rPr>
      </w:pPr>
      <w:r w:rsidRPr="00785442">
        <w:rPr>
          <w:color w:val="000000"/>
          <w:sz w:val="22"/>
          <w:szCs w:val="22"/>
        </w:rPr>
        <w:t>Employees – organisations with a similar number of employees</w:t>
      </w:r>
    </w:p>
    <w:p w:rsidR="00F17F73" w:rsidRPr="00785442" w:rsidRDefault="008D224F" w:rsidP="008D224F">
      <w:pPr>
        <w:pStyle w:val="Heading2"/>
        <w:rPr>
          <w:rFonts w:ascii="Arial" w:hAnsi="Arial" w:cs="Arial"/>
          <w:b/>
          <w:color w:val="auto"/>
          <w:sz w:val="22"/>
          <w:szCs w:val="22"/>
        </w:rPr>
      </w:pPr>
      <w:r w:rsidRPr="00785442">
        <w:rPr>
          <w:rFonts w:ascii="Arial" w:hAnsi="Arial" w:cs="Arial"/>
          <w:b/>
          <w:color w:val="auto"/>
          <w:sz w:val="22"/>
          <w:szCs w:val="22"/>
        </w:rPr>
        <w:t>5</w:t>
      </w:r>
      <w:r w:rsidR="00D6112D" w:rsidRPr="00785442">
        <w:rPr>
          <w:rFonts w:ascii="Arial" w:hAnsi="Arial" w:cs="Arial"/>
          <w:b/>
          <w:color w:val="auto"/>
          <w:sz w:val="22"/>
          <w:szCs w:val="22"/>
        </w:rPr>
        <w:t>.1</w:t>
      </w:r>
      <w:r w:rsidR="00D6112D" w:rsidRPr="00785442">
        <w:rPr>
          <w:rFonts w:ascii="Arial" w:hAnsi="Arial" w:cs="Arial"/>
          <w:b/>
          <w:color w:val="auto"/>
          <w:sz w:val="22"/>
          <w:szCs w:val="22"/>
        </w:rPr>
        <w:tab/>
      </w:r>
      <w:r w:rsidR="00F17F73" w:rsidRPr="00785442">
        <w:rPr>
          <w:rFonts w:ascii="Arial" w:hAnsi="Arial" w:cs="Arial"/>
          <w:b/>
          <w:color w:val="auto"/>
          <w:sz w:val="22"/>
          <w:szCs w:val="22"/>
        </w:rPr>
        <w:t>St Joseph’s Hospice median Gender pay gap</w:t>
      </w:r>
    </w:p>
    <w:p w:rsidR="00F17F73" w:rsidRPr="00785442" w:rsidRDefault="00F17F73" w:rsidP="00F17F73">
      <w:pPr>
        <w:pStyle w:val="NormalWeb"/>
        <w:spacing w:before="120" w:beforeAutospacing="0" w:after="60" w:afterAutospacing="0"/>
        <w:rPr>
          <w:color w:val="000000"/>
          <w:sz w:val="22"/>
          <w:szCs w:val="22"/>
        </w:rPr>
      </w:pPr>
      <w:r w:rsidRPr="00785442">
        <w:rPr>
          <w:color w:val="000000"/>
          <w:sz w:val="22"/>
          <w:szCs w:val="22"/>
        </w:rPr>
        <w:t xml:space="preserve">The median gender pay gap for the Hospice </w:t>
      </w:r>
      <w:r w:rsidR="007B02B3" w:rsidRPr="00785442">
        <w:rPr>
          <w:color w:val="000000"/>
          <w:sz w:val="22"/>
          <w:szCs w:val="22"/>
        </w:rPr>
        <w:t>6.75</w:t>
      </w:r>
      <w:r w:rsidRPr="00785442">
        <w:rPr>
          <w:color w:val="000000"/>
          <w:sz w:val="22"/>
          <w:szCs w:val="22"/>
        </w:rPr>
        <w:t xml:space="preserve">%. </w:t>
      </w:r>
    </w:p>
    <w:p w:rsidR="00F17F73" w:rsidRPr="00785442" w:rsidRDefault="00F17F73" w:rsidP="00F17F73">
      <w:pPr>
        <w:pStyle w:val="NormalWeb"/>
        <w:spacing w:before="120" w:beforeAutospacing="0" w:after="60" w:afterAutospacing="0"/>
        <w:rPr>
          <w:color w:val="000000"/>
          <w:sz w:val="22"/>
          <w:szCs w:val="22"/>
        </w:rPr>
      </w:pPr>
      <w:r w:rsidRPr="00785442">
        <w:rPr>
          <w:color w:val="000000"/>
          <w:sz w:val="22"/>
          <w:szCs w:val="22"/>
        </w:rPr>
        <w:t xml:space="preserve">This calculation shows the difference between the median hourly </w:t>
      </w:r>
      <w:r w:rsidR="002C56C1" w:rsidRPr="00785442">
        <w:rPr>
          <w:color w:val="000000"/>
          <w:sz w:val="22"/>
          <w:szCs w:val="22"/>
        </w:rPr>
        <w:t>rates</w:t>
      </w:r>
      <w:r w:rsidRPr="00785442">
        <w:rPr>
          <w:color w:val="000000"/>
          <w:sz w:val="22"/>
          <w:szCs w:val="22"/>
        </w:rPr>
        <w:t xml:space="preserve"> of pay that male and female relevant employees receive.  Our median rates of pay for each gender are:</w:t>
      </w:r>
    </w:p>
    <w:p w:rsidR="00F17F73" w:rsidRPr="00785442" w:rsidRDefault="00F17F73" w:rsidP="00F17F73">
      <w:pPr>
        <w:numPr>
          <w:ilvl w:val="0"/>
          <w:numId w:val="3"/>
        </w:numPr>
        <w:spacing w:before="100" w:beforeAutospacing="1" w:after="100" w:afterAutospacing="1" w:line="360" w:lineRule="atLeast"/>
        <w:rPr>
          <w:rFonts w:ascii="Arial" w:eastAsia="Times New Roman" w:hAnsi="Arial" w:cs="Arial"/>
          <w:color w:val="000000"/>
        </w:rPr>
      </w:pPr>
      <w:r w:rsidRPr="00785442">
        <w:rPr>
          <w:rFonts w:ascii="Arial" w:eastAsia="Times New Roman" w:hAnsi="Arial" w:cs="Arial"/>
          <w:color w:val="000000"/>
        </w:rPr>
        <w:t>A median male hourly rate of £</w:t>
      </w:r>
      <w:r w:rsidR="007B02B3" w:rsidRPr="00785442">
        <w:rPr>
          <w:rFonts w:ascii="Arial" w:eastAsia="Times New Roman" w:hAnsi="Arial" w:cs="Arial"/>
          <w:color w:val="000000"/>
        </w:rPr>
        <w:t>22.27</w:t>
      </w:r>
    </w:p>
    <w:p w:rsidR="00F17F73" w:rsidRPr="00785442" w:rsidRDefault="00F17F73" w:rsidP="00F17F73">
      <w:pPr>
        <w:numPr>
          <w:ilvl w:val="0"/>
          <w:numId w:val="3"/>
        </w:numPr>
        <w:spacing w:before="100" w:beforeAutospacing="1" w:after="100" w:afterAutospacing="1" w:line="360" w:lineRule="atLeast"/>
        <w:rPr>
          <w:rFonts w:ascii="Arial" w:eastAsia="Times New Roman" w:hAnsi="Arial" w:cs="Arial"/>
          <w:color w:val="000000"/>
        </w:rPr>
      </w:pPr>
      <w:r w:rsidRPr="00785442">
        <w:rPr>
          <w:rFonts w:ascii="Arial" w:eastAsia="Times New Roman" w:hAnsi="Arial" w:cs="Arial"/>
          <w:color w:val="000000"/>
        </w:rPr>
        <w:t>A median female hourly rate of £</w:t>
      </w:r>
      <w:r w:rsidR="007B02B3" w:rsidRPr="00785442">
        <w:rPr>
          <w:rFonts w:ascii="Arial" w:eastAsia="Times New Roman" w:hAnsi="Arial" w:cs="Arial"/>
          <w:color w:val="000000"/>
        </w:rPr>
        <w:t>20.7</w:t>
      </w:r>
    </w:p>
    <w:p w:rsidR="007B02B3" w:rsidRPr="00785442" w:rsidRDefault="007B02B3">
      <w:pPr>
        <w:rPr>
          <w:rFonts w:ascii="Arial" w:eastAsiaTheme="majorEastAsia" w:hAnsi="Arial" w:cs="Arial"/>
        </w:rPr>
      </w:pPr>
    </w:p>
    <w:p w:rsidR="008D224F" w:rsidRPr="00684BA0" w:rsidRDefault="007B02B3" w:rsidP="007B02B3">
      <w:pPr>
        <w:pStyle w:val="Heading2"/>
        <w:rPr>
          <w:rFonts w:ascii="Arial" w:hAnsi="Arial" w:cs="Arial"/>
          <w:b/>
          <w:color w:val="auto"/>
          <w:sz w:val="22"/>
          <w:szCs w:val="22"/>
        </w:rPr>
      </w:pPr>
      <w:r w:rsidRPr="00684BA0">
        <w:rPr>
          <w:rFonts w:ascii="Arial" w:hAnsi="Arial" w:cs="Arial"/>
          <w:b/>
          <w:color w:val="auto"/>
          <w:sz w:val="22"/>
          <w:szCs w:val="22"/>
        </w:rPr>
        <w:lastRenderedPageBreak/>
        <w:t>Contribution of each Quartile to the Pay Gap</w:t>
      </w:r>
    </w:p>
    <w:p w:rsidR="007B02B3" w:rsidRPr="00785442" w:rsidRDefault="007B02B3" w:rsidP="007B02B3">
      <w:pPr>
        <w:rPr>
          <w:rFonts w:ascii="Arial" w:hAnsi="Arial" w:cs="Arial"/>
        </w:rPr>
      </w:pPr>
    </w:p>
    <w:p w:rsidR="007B02B3" w:rsidRPr="00785442" w:rsidRDefault="007B02B3" w:rsidP="008D224F">
      <w:pPr>
        <w:rPr>
          <w:rFonts w:ascii="Arial" w:hAnsi="Arial" w:cs="Arial"/>
        </w:rPr>
      </w:pPr>
      <w:r w:rsidRPr="00785442">
        <w:rPr>
          <w:rFonts w:ascii="Arial" w:hAnsi="Arial" w:cs="Arial"/>
          <w:noProof/>
          <w:lang w:eastAsia="en-GB"/>
        </w:rPr>
        <w:drawing>
          <wp:inline distT="0" distB="0" distL="0" distR="0" wp14:anchorId="43789578" wp14:editId="325DC05A">
            <wp:extent cx="5731510" cy="3988435"/>
            <wp:effectExtent l="0" t="0" r="0" b="0"/>
            <wp:docPr id="3" name="Image 0"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0" descr="preencoded.png"/>
                    <pic:cNvPicPr>
                      <a:picLocks noChangeAspect="1"/>
                    </pic:cNvPicPr>
                  </pic:nvPicPr>
                  <pic:blipFill>
                    <a:blip r:embed="rId9"/>
                    <a:stretch>
                      <a:fillRect/>
                    </a:stretch>
                  </pic:blipFill>
                  <pic:spPr>
                    <a:xfrm>
                      <a:off x="0" y="0"/>
                      <a:ext cx="5731510" cy="3988435"/>
                    </a:xfrm>
                    <a:prstGeom prst="rect">
                      <a:avLst/>
                    </a:prstGeom>
                  </pic:spPr>
                </pic:pic>
              </a:graphicData>
            </a:graphic>
          </wp:inline>
        </w:drawing>
      </w:r>
    </w:p>
    <w:p w:rsidR="00785442" w:rsidRPr="00684BA0" w:rsidRDefault="00785442" w:rsidP="00785442">
      <w:pPr>
        <w:pStyle w:val="Heading2"/>
        <w:rPr>
          <w:rFonts w:ascii="Arial" w:hAnsi="Arial" w:cs="Arial"/>
          <w:b/>
          <w:color w:val="auto"/>
          <w:sz w:val="22"/>
          <w:szCs w:val="22"/>
        </w:rPr>
      </w:pPr>
      <w:r w:rsidRPr="00684BA0">
        <w:rPr>
          <w:rFonts w:ascii="Arial" w:hAnsi="Arial" w:cs="Arial"/>
          <w:b/>
          <w:color w:val="auto"/>
          <w:sz w:val="22"/>
          <w:szCs w:val="22"/>
        </w:rPr>
        <w:t>Pay Ranges by Quartiles</w:t>
      </w:r>
    </w:p>
    <w:p w:rsidR="00785442" w:rsidRPr="00785442" w:rsidRDefault="00785442" w:rsidP="008D224F">
      <w:pPr>
        <w:rPr>
          <w:rFonts w:ascii="Arial" w:hAnsi="Arial" w:cs="Arial"/>
        </w:rPr>
      </w:pPr>
      <w:r w:rsidRPr="00785442">
        <w:rPr>
          <w:rFonts w:ascii="Arial" w:hAnsi="Arial" w:cs="Arial"/>
          <w:noProof/>
          <w:lang w:eastAsia="en-GB"/>
        </w:rPr>
        <w:drawing>
          <wp:inline distT="0" distB="0" distL="0" distR="0" wp14:anchorId="54A13892" wp14:editId="48041DD1">
            <wp:extent cx="5731510" cy="3988435"/>
            <wp:effectExtent l="0" t="0" r="2540" b="0"/>
            <wp:docPr id="6" name="Image 0"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0" descr="preencoded.png"/>
                    <pic:cNvPicPr>
                      <a:picLocks noChangeAspect="1"/>
                    </pic:cNvPicPr>
                  </pic:nvPicPr>
                  <pic:blipFill>
                    <a:blip r:embed="rId10"/>
                    <a:stretch>
                      <a:fillRect/>
                    </a:stretch>
                  </pic:blipFill>
                  <pic:spPr>
                    <a:xfrm>
                      <a:off x="0" y="0"/>
                      <a:ext cx="5731510" cy="3988435"/>
                    </a:xfrm>
                    <a:prstGeom prst="rect">
                      <a:avLst/>
                    </a:prstGeom>
                  </pic:spPr>
                </pic:pic>
              </a:graphicData>
            </a:graphic>
          </wp:inline>
        </w:drawing>
      </w:r>
    </w:p>
    <w:p w:rsidR="00785442" w:rsidRPr="00785442" w:rsidRDefault="00785442" w:rsidP="008D224F">
      <w:pPr>
        <w:pStyle w:val="Heading2"/>
        <w:rPr>
          <w:rFonts w:ascii="Arial" w:hAnsi="Arial" w:cs="Arial"/>
          <w:color w:val="auto"/>
          <w:sz w:val="22"/>
          <w:szCs w:val="22"/>
        </w:rPr>
      </w:pPr>
    </w:p>
    <w:p w:rsidR="00785442" w:rsidRPr="00785442" w:rsidRDefault="00785442" w:rsidP="008D224F">
      <w:pPr>
        <w:pStyle w:val="Heading2"/>
        <w:rPr>
          <w:rFonts w:ascii="Arial" w:hAnsi="Arial" w:cs="Arial"/>
          <w:color w:val="auto"/>
          <w:sz w:val="22"/>
          <w:szCs w:val="22"/>
        </w:rPr>
      </w:pPr>
    </w:p>
    <w:p w:rsidR="00F17F73" w:rsidRPr="00684BA0" w:rsidRDefault="008D224F" w:rsidP="008D224F">
      <w:pPr>
        <w:pStyle w:val="Heading2"/>
        <w:rPr>
          <w:rFonts w:ascii="Arial" w:hAnsi="Arial" w:cs="Arial"/>
          <w:b/>
          <w:color w:val="auto"/>
          <w:sz w:val="22"/>
          <w:szCs w:val="22"/>
        </w:rPr>
      </w:pPr>
      <w:r w:rsidRPr="00684BA0">
        <w:rPr>
          <w:rFonts w:ascii="Arial" w:hAnsi="Arial" w:cs="Arial"/>
          <w:b/>
          <w:color w:val="auto"/>
          <w:sz w:val="22"/>
          <w:szCs w:val="22"/>
        </w:rPr>
        <w:t>5</w:t>
      </w:r>
      <w:r w:rsidR="00D6112D" w:rsidRPr="00684BA0">
        <w:rPr>
          <w:rFonts w:ascii="Arial" w:hAnsi="Arial" w:cs="Arial"/>
          <w:b/>
          <w:color w:val="auto"/>
          <w:sz w:val="22"/>
          <w:szCs w:val="22"/>
        </w:rPr>
        <w:t>.2</w:t>
      </w:r>
      <w:r w:rsidR="00D6112D" w:rsidRPr="00684BA0">
        <w:rPr>
          <w:rFonts w:ascii="Arial" w:hAnsi="Arial" w:cs="Arial"/>
          <w:b/>
          <w:color w:val="auto"/>
          <w:sz w:val="22"/>
          <w:szCs w:val="22"/>
        </w:rPr>
        <w:tab/>
      </w:r>
      <w:r w:rsidR="00F17F73" w:rsidRPr="00684BA0">
        <w:rPr>
          <w:rFonts w:ascii="Arial" w:hAnsi="Arial" w:cs="Arial"/>
          <w:b/>
          <w:color w:val="auto"/>
          <w:sz w:val="22"/>
          <w:szCs w:val="22"/>
        </w:rPr>
        <w:t>Our Mean gender bonus gap</w:t>
      </w:r>
    </w:p>
    <w:p w:rsidR="00A06691" w:rsidRPr="00785442" w:rsidRDefault="00F17F73" w:rsidP="00D6112D">
      <w:pPr>
        <w:pStyle w:val="NormalWeb"/>
        <w:jc w:val="both"/>
        <w:rPr>
          <w:color w:val="000000"/>
          <w:sz w:val="22"/>
          <w:szCs w:val="22"/>
        </w:rPr>
      </w:pPr>
      <w:r w:rsidRPr="00785442">
        <w:rPr>
          <w:color w:val="000000"/>
          <w:sz w:val="22"/>
          <w:szCs w:val="22"/>
        </w:rPr>
        <w:t xml:space="preserve">St Joseph’s Hospice does not make bonus payments to staff.  </w:t>
      </w:r>
      <w:r w:rsidR="002C56C1" w:rsidRPr="00785442">
        <w:rPr>
          <w:color w:val="000000"/>
          <w:sz w:val="22"/>
          <w:szCs w:val="22"/>
        </w:rPr>
        <w:t>Consequently,</w:t>
      </w:r>
      <w:r w:rsidRPr="00785442">
        <w:rPr>
          <w:color w:val="000000"/>
          <w:sz w:val="22"/>
          <w:szCs w:val="22"/>
        </w:rPr>
        <w:t xml:space="preserve"> our mean gender bonus </w:t>
      </w:r>
      <w:r w:rsidR="00D6112D" w:rsidRPr="00785442">
        <w:rPr>
          <w:color w:val="000000"/>
          <w:sz w:val="22"/>
          <w:szCs w:val="22"/>
        </w:rPr>
        <w:t>i</w:t>
      </w:r>
      <w:r w:rsidRPr="00785442">
        <w:rPr>
          <w:color w:val="000000"/>
          <w:sz w:val="22"/>
          <w:szCs w:val="22"/>
        </w:rPr>
        <w:t>s 0%</w:t>
      </w:r>
      <w:r w:rsidR="00243F4B" w:rsidRPr="00785442">
        <w:rPr>
          <w:color w:val="000000"/>
          <w:sz w:val="22"/>
          <w:szCs w:val="22"/>
        </w:rPr>
        <w:t>.</w:t>
      </w:r>
    </w:p>
    <w:p w:rsidR="008D224F" w:rsidRPr="00785442" w:rsidRDefault="008D224F" w:rsidP="00306CAD">
      <w:pPr>
        <w:pStyle w:val="NormalWeb"/>
        <w:jc w:val="both"/>
        <w:rPr>
          <w:color w:val="000000"/>
          <w:sz w:val="22"/>
          <w:szCs w:val="22"/>
        </w:rPr>
      </w:pPr>
      <w:r w:rsidRPr="00785442">
        <w:rPr>
          <w:color w:val="000000"/>
          <w:sz w:val="22"/>
          <w:szCs w:val="22"/>
        </w:rPr>
        <w:t xml:space="preserve">Not enough Hospices have declared their Gender Pay Gap for us to provide comparative data at time of writing.  This report will be updated when this information </w:t>
      </w:r>
      <w:r w:rsidR="006166A8" w:rsidRPr="00785442">
        <w:rPr>
          <w:color w:val="000000"/>
          <w:sz w:val="22"/>
          <w:szCs w:val="22"/>
        </w:rPr>
        <w:t>is</w:t>
      </w:r>
      <w:r w:rsidRPr="00785442">
        <w:rPr>
          <w:color w:val="000000"/>
          <w:sz w:val="22"/>
          <w:szCs w:val="22"/>
        </w:rPr>
        <w:t xml:space="preserve"> declared.</w:t>
      </w:r>
    </w:p>
    <w:p w:rsidR="0066169F" w:rsidRPr="00785442" w:rsidRDefault="0066169F">
      <w:pPr>
        <w:rPr>
          <w:rFonts w:ascii="Arial" w:eastAsia="Times New Roman" w:hAnsi="Arial" w:cs="Arial"/>
          <w:i/>
          <w:color w:val="000000"/>
        </w:rPr>
      </w:pPr>
    </w:p>
    <w:p w:rsidR="00A06691" w:rsidRPr="00684BA0" w:rsidRDefault="008D224F" w:rsidP="00785442">
      <w:pPr>
        <w:rPr>
          <w:rFonts w:ascii="Arial" w:eastAsia="Times New Roman" w:hAnsi="Arial" w:cs="Arial"/>
          <w:b/>
        </w:rPr>
      </w:pPr>
      <w:r w:rsidRPr="00684BA0">
        <w:rPr>
          <w:rFonts w:ascii="Arial" w:eastAsia="Times New Roman" w:hAnsi="Arial" w:cs="Arial"/>
          <w:b/>
        </w:rPr>
        <w:t>5</w:t>
      </w:r>
      <w:r w:rsidR="00D6112D" w:rsidRPr="00684BA0">
        <w:rPr>
          <w:rFonts w:ascii="Arial" w:eastAsia="Times New Roman" w:hAnsi="Arial" w:cs="Arial"/>
          <w:b/>
        </w:rPr>
        <w:t>.3</w:t>
      </w:r>
      <w:r w:rsidR="00D6112D" w:rsidRPr="00684BA0">
        <w:rPr>
          <w:rFonts w:ascii="Arial" w:eastAsia="Times New Roman" w:hAnsi="Arial" w:cs="Arial"/>
          <w:b/>
        </w:rPr>
        <w:tab/>
      </w:r>
      <w:r w:rsidR="00A06691" w:rsidRPr="00684BA0">
        <w:rPr>
          <w:rFonts w:ascii="Arial" w:eastAsia="Times New Roman" w:hAnsi="Arial" w:cs="Arial"/>
          <w:b/>
        </w:rPr>
        <w:t>Gender Pay Quartiles</w:t>
      </w:r>
    </w:p>
    <w:p w:rsidR="00A06691" w:rsidRPr="00785442" w:rsidRDefault="00A06691" w:rsidP="00A06691">
      <w:pPr>
        <w:pStyle w:val="NormalWeb"/>
        <w:rPr>
          <w:color w:val="000000"/>
          <w:sz w:val="22"/>
          <w:szCs w:val="22"/>
        </w:rPr>
      </w:pPr>
      <w:r w:rsidRPr="00785442">
        <w:rPr>
          <w:sz w:val="22"/>
          <w:szCs w:val="22"/>
        </w:rPr>
        <w:t xml:space="preserve">St Joseph’s Hospice </w:t>
      </w:r>
      <w:r w:rsidRPr="00785442">
        <w:rPr>
          <w:color w:val="000000"/>
          <w:sz w:val="22"/>
          <w:szCs w:val="22"/>
        </w:rPr>
        <w:t>pay quartiles, percentage in each band (number of employees in each band)</w:t>
      </w:r>
    </w:p>
    <w:p w:rsidR="00295CA1" w:rsidRPr="00785442" w:rsidRDefault="00295CA1" w:rsidP="00A06691">
      <w:pPr>
        <w:pStyle w:val="Heading3"/>
        <w:spacing w:before="120" w:after="120" w:line="280" w:lineRule="atLeast"/>
        <w:rPr>
          <w:rFonts w:ascii="Arial" w:eastAsia="Times New Roman" w:hAnsi="Arial" w:cs="Arial"/>
          <w:color w:val="auto"/>
          <w:sz w:val="22"/>
          <w:szCs w:val="22"/>
        </w:rPr>
      </w:pPr>
    </w:p>
    <w:p w:rsidR="00295CA1" w:rsidRPr="00785442" w:rsidRDefault="00785442" w:rsidP="00295CA1">
      <w:pPr>
        <w:pStyle w:val="ListParagraph"/>
        <w:rPr>
          <w:rFonts w:ascii="Arial" w:hAnsi="Arial" w:cs="Arial"/>
          <w:b/>
        </w:rPr>
      </w:pPr>
      <w:r w:rsidRPr="00785442">
        <w:rPr>
          <w:rFonts w:ascii="Arial" w:hAnsi="Arial" w:cs="Arial"/>
          <w:b/>
          <w:noProof/>
          <w:lang w:eastAsia="en-GB"/>
        </w:rPr>
        <w:drawing>
          <wp:inline distT="0" distB="0" distL="0" distR="0" wp14:anchorId="4FC9A549" wp14:editId="22B9BA7A">
            <wp:extent cx="5731510" cy="3988435"/>
            <wp:effectExtent l="0" t="0" r="2540" b="0"/>
            <wp:docPr id="5" name="Image 0"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0" descr="preencoded.png"/>
                    <pic:cNvPicPr>
                      <a:picLocks noChangeAspect="1"/>
                    </pic:cNvPicPr>
                  </pic:nvPicPr>
                  <pic:blipFill>
                    <a:blip r:embed="rId11"/>
                    <a:stretch>
                      <a:fillRect/>
                    </a:stretch>
                  </pic:blipFill>
                  <pic:spPr>
                    <a:xfrm>
                      <a:off x="0" y="0"/>
                      <a:ext cx="5731510" cy="3988435"/>
                    </a:xfrm>
                    <a:prstGeom prst="rect">
                      <a:avLst/>
                    </a:prstGeom>
                  </pic:spPr>
                </pic:pic>
              </a:graphicData>
            </a:graphic>
          </wp:inline>
        </w:drawing>
      </w:r>
    </w:p>
    <w:p w:rsidR="00306CAD" w:rsidRPr="00785442" w:rsidRDefault="00306CAD" w:rsidP="00295CA1">
      <w:pPr>
        <w:pStyle w:val="ListParagraph"/>
        <w:rPr>
          <w:rFonts w:ascii="Arial" w:hAnsi="Arial" w:cs="Arial"/>
          <w:b/>
        </w:rPr>
      </w:pPr>
    </w:p>
    <w:p w:rsidR="00306CAD" w:rsidRPr="00785442" w:rsidRDefault="00306CAD" w:rsidP="00295CA1">
      <w:pPr>
        <w:pStyle w:val="ListParagraph"/>
        <w:rPr>
          <w:rFonts w:ascii="Arial" w:hAnsi="Arial" w:cs="Arial"/>
          <w:b/>
        </w:rPr>
      </w:pPr>
    </w:p>
    <w:p w:rsidR="00295CA1" w:rsidRPr="00785442" w:rsidRDefault="00306CAD" w:rsidP="00306CAD">
      <w:pPr>
        <w:pStyle w:val="NormalWeb"/>
        <w:jc w:val="both"/>
        <w:rPr>
          <w:sz w:val="22"/>
          <w:szCs w:val="22"/>
        </w:rPr>
      </w:pPr>
      <w:r w:rsidRPr="00785442">
        <w:rPr>
          <w:sz w:val="22"/>
          <w:szCs w:val="22"/>
        </w:rPr>
        <w:t>.</w:t>
      </w:r>
    </w:p>
    <w:p w:rsidR="00306CAD" w:rsidRPr="00785442" w:rsidRDefault="00306CAD" w:rsidP="00306CAD">
      <w:pPr>
        <w:rPr>
          <w:rFonts w:ascii="Arial" w:hAnsi="Arial" w:cs="Arial"/>
          <w:b/>
        </w:rPr>
      </w:pPr>
    </w:p>
    <w:p w:rsidR="001322FE" w:rsidRPr="00684BA0" w:rsidRDefault="001322FE" w:rsidP="00785442">
      <w:pPr>
        <w:pStyle w:val="Heading1"/>
        <w:numPr>
          <w:ilvl w:val="0"/>
          <w:numId w:val="7"/>
        </w:numPr>
        <w:rPr>
          <w:rFonts w:ascii="Arial" w:hAnsi="Arial" w:cs="Arial"/>
          <w:b/>
          <w:color w:val="auto"/>
          <w:sz w:val="22"/>
          <w:szCs w:val="22"/>
        </w:rPr>
      </w:pPr>
      <w:r w:rsidRPr="00684BA0">
        <w:rPr>
          <w:rFonts w:ascii="Arial" w:hAnsi="Arial" w:cs="Arial"/>
          <w:b/>
          <w:color w:val="auto"/>
          <w:sz w:val="22"/>
          <w:szCs w:val="22"/>
        </w:rPr>
        <w:lastRenderedPageBreak/>
        <w:t>Summary</w:t>
      </w:r>
    </w:p>
    <w:p w:rsidR="00A06691" w:rsidRPr="00785442" w:rsidRDefault="00A06691" w:rsidP="00D6112D">
      <w:pPr>
        <w:pStyle w:val="NormalWeb"/>
        <w:jc w:val="both"/>
        <w:rPr>
          <w:sz w:val="22"/>
          <w:szCs w:val="22"/>
        </w:rPr>
      </w:pPr>
      <w:r w:rsidRPr="00785442">
        <w:rPr>
          <w:sz w:val="22"/>
          <w:szCs w:val="22"/>
        </w:rPr>
        <w:t>Overall</w:t>
      </w:r>
      <w:r w:rsidR="00295CA1" w:rsidRPr="00785442">
        <w:rPr>
          <w:sz w:val="22"/>
          <w:szCs w:val="22"/>
        </w:rPr>
        <w:t>,</w:t>
      </w:r>
      <w:r w:rsidRPr="00785442">
        <w:rPr>
          <w:sz w:val="22"/>
          <w:szCs w:val="22"/>
        </w:rPr>
        <w:t xml:space="preserve"> the hospice does not appear to have a significant gender pay gap.</w:t>
      </w:r>
      <w:r w:rsidR="00306CAD" w:rsidRPr="00785442">
        <w:rPr>
          <w:sz w:val="22"/>
          <w:szCs w:val="22"/>
        </w:rPr>
        <w:t xml:space="preserve"> Although the increase in pay gap is an unwelcome trend.  It will be important to not</w:t>
      </w:r>
      <w:r w:rsidR="00243F4B" w:rsidRPr="00785442">
        <w:rPr>
          <w:sz w:val="22"/>
          <w:szCs w:val="22"/>
        </w:rPr>
        <w:t>e</w:t>
      </w:r>
      <w:r w:rsidR="00306CAD" w:rsidRPr="00785442">
        <w:rPr>
          <w:sz w:val="22"/>
          <w:szCs w:val="22"/>
        </w:rPr>
        <w:t xml:space="preserve"> the impact of in year work in next years’ pay gap report.</w:t>
      </w:r>
      <w:r w:rsidRPr="00785442">
        <w:rPr>
          <w:sz w:val="22"/>
          <w:szCs w:val="22"/>
        </w:rPr>
        <w:t xml:space="preserve"> </w:t>
      </w:r>
    </w:p>
    <w:p w:rsidR="00A06691" w:rsidRPr="00785442" w:rsidRDefault="00A06691" w:rsidP="00D6112D">
      <w:pPr>
        <w:pStyle w:val="NormalWeb"/>
        <w:jc w:val="both"/>
        <w:rPr>
          <w:sz w:val="22"/>
          <w:szCs w:val="22"/>
        </w:rPr>
      </w:pPr>
      <w:r w:rsidRPr="00785442">
        <w:rPr>
          <w:sz w:val="22"/>
          <w:szCs w:val="22"/>
        </w:rPr>
        <w:t xml:space="preserve">This is the </w:t>
      </w:r>
      <w:r w:rsidR="00306CAD" w:rsidRPr="00785442">
        <w:rPr>
          <w:sz w:val="22"/>
          <w:szCs w:val="22"/>
        </w:rPr>
        <w:t>fifth</w:t>
      </w:r>
      <w:r w:rsidRPr="00785442">
        <w:rPr>
          <w:sz w:val="22"/>
          <w:szCs w:val="22"/>
        </w:rPr>
        <w:t xml:space="preserve"> year the hospice has been required to produce a gender pay gap report  A more robust data set was provided for the period under report presents a</w:t>
      </w:r>
      <w:r w:rsidR="00295CA1" w:rsidRPr="00785442">
        <w:rPr>
          <w:sz w:val="22"/>
          <w:szCs w:val="22"/>
        </w:rPr>
        <w:t xml:space="preserve">n ongoing desire on the part of the Hospice to improve its reporting in this area.  </w:t>
      </w:r>
      <w:r w:rsidR="00306CAD" w:rsidRPr="00785442">
        <w:rPr>
          <w:sz w:val="22"/>
          <w:szCs w:val="22"/>
        </w:rPr>
        <w:t xml:space="preserve">The </w:t>
      </w:r>
      <w:r w:rsidR="000F1A6B" w:rsidRPr="00785442">
        <w:rPr>
          <w:sz w:val="22"/>
          <w:szCs w:val="22"/>
        </w:rPr>
        <w:t xml:space="preserve">new HR IS system implemented </w:t>
      </w:r>
      <w:r w:rsidR="008D224F" w:rsidRPr="00785442">
        <w:rPr>
          <w:sz w:val="22"/>
          <w:szCs w:val="22"/>
        </w:rPr>
        <w:t xml:space="preserve">during 2020 </w:t>
      </w:r>
      <w:r w:rsidR="00306CAD" w:rsidRPr="00785442">
        <w:rPr>
          <w:sz w:val="22"/>
          <w:szCs w:val="22"/>
        </w:rPr>
        <w:t>has continued to</w:t>
      </w:r>
      <w:r w:rsidR="000F1A6B" w:rsidRPr="00785442">
        <w:rPr>
          <w:sz w:val="22"/>
          <w:szCs w:val="22"/>
        </w:rPr>
        <w:t xml:space="preserve"> provide the hospice with </w:t>
      </w:r>
      <w:r w:rsidR="008D224F" w:rsidRPr="00785442">
        <w:rPr>
          <w:sz w:val="22"/>
          <w:szCs w:val="22"/>
        </w:rPr>
        <w:t xml:space="preserve">even more rigorous data </w:t>
      </w:r>
      <w:r w:rsidR="00306CAD" w:rsidRPr="00785442">
        <w:rPr>
          <w:sz w:val="22"/>
          <w:szCs w:val="22"/>
        </w:rPr>
        <w:t>set for this report</w:t>
      </w:r>
      <w:r w:rsidR="00295CA1" w:rsidRPr="00785442">
        <w:rPr>
          <w:sz w:val="22"/>
          <w:szCs w:val="22"/>
        </w:rPr>
        <w:t>.</w:t>
      </w:r>
      <w:r w:rsidR="008D224F" w:rsidRPr="00785442">
        <w:rPr>
          <w:sz w:val="22"/>
          <w:szCs w:val="22"/>
        </w:rPr>
        <w:t xml:space="preserve"> </w:t>
      </w:r>
      <w:r w:rsidR="00306CAD" w:rsidRPr="00785442">
        <w:rPr>
          <w:sz w:val="22"/>
          <w:szCs w:val="22"/>
        </w:rPr>
        <w:t xml:space="preserve">We continue to develop the capabilities of the HR IS system. </w:t>
      </w:r>
      <w:r w:rsidRPr="00785442">
        <w:rPr>
          <w:sz w:val="22"/>
          <w:szCs w:val="22"/>
        </w:rPr>
        <w:t xml:space="preserve">However, we will </w:t>
      </w:r>
      <w:r w:rsidR="00295CA1" w:rsidRPr="00785442">
        <w:rPr>
          <w:sz w:val="22"/>
          <w:szCs w:val="22"/>
        </w:rPr>
        <w:t>continue</w:t>
      </w:r>
      <w:r w:rsidRPr="00785442">
        <w:rPr>
          <w:sz w:val="22"/>
          <w:szCs w:val="22"/>
        </w:rPr>
        <w:t xml:space="preserve"> </w:t>
      </w:r>
      <w:r w:rsidR="00295CA1" w:rsidRPr="00785442">
        <w:rPr>
          <w:sz w:val="22"/>
          <w:szCs w:val="22"/>
        </w:rPr>
        <w:t xml:space="preserve">to trend analyse data and </w:t>
      </w:r>
      <w:r w:rsidRPr="00785442">
        <w:rPr>
          <w:sz w:val="22"/>
          <w:szCs w:val="22"/>
        </w:rPr>
        <w:t xml:space="preserve">continue to benchmark </w:t>
      </w:r>
      <w:r w:rsidR="00295CA1" w:rsidRPr="00785442">
        <w:rPr>
          <w:sz w:val="22"/>
          <w:szCs w:val="22"/>
        </w:rPr>
        <w:t>the Hospice</w:t>
      </w:r>
      <w:r w:rsidRPr="00785442">
        <w:rPr>
          <w:sz w:val="22"/>
          <w:szCs w:val="22"/>
        </w:rPr>
        <w:t xml:space="preserve"> against other organisations within the sector as well as benchmarking against other hospices in future where possible.</w:t>
      </w:r>
    </w:p>
    <w:p w:rsidR="008D224F" w:rsidRPr="00785442" w:rsidRDefault="008D224F" w:rsidP="00D6112D">
      <w:pPr>
        <w:pStyle w:val="NormalWeb"/>
        <w:jc w:val="both"/>
        <w:rPr>
          <w:sz w:val="22"/>
          <w:szCs w:val="22"/>
        </w:rPr>
      </w:pPr>
      <w:r w:rsidRPr="00785442">
        <w:rPr>
          <w:sz w:val="22"/>
          <w:szCs w:val="22"/>
        </w:rPr>
        <w:t>We will continue to invest in rigorous processes for both setting and progressing pay in the Hospice as part of our commitment to managing the talent of the ho</w:t>
      </w:r>
      <w:r w:rsidR="00306CAD" w:rsidRPr="00785442">
        <w:rPr>
          <w:sz w:val="22"/>
          <w:szCs w:val="22"/>
        </w:rPr>
        <w:t xml:space="preserve">spice staff team and move to a </w:t>
      </w:r>
      <w:r w:rsidRPr="00785442">
        <w:rPr>
          <w:sz w:val="22"/>
          <w:szCs w:val="22"/>
        </w:rPr>
        <w:t xml:space="preserve">transparent pay and pay progression system that embeds the Hospice’s values and behaviours framework that </w:t>
      </w:r>
      <w:r w:rsidR="006D4010" w:rsidRPr="00785442">
        <w:rPr>
          <w:sz w:val="22"/>
          <w:szCs w:val="22"/>
        </w:rPr>
        <w:t xml:space="preserve">the staff team </w:t>
      </w:r>
      <w:r w:rsidRPr="00785442">
        <w:rPr>
          <w:sz w:val="22"/>
          <w:szCs w:val="22"/>
        </w:rPr>
        <w:t>co-created.</w:t>
      </w:r>
    </w:p>
    <w:p w:rsidR="00295CA1" w:rsidRPr="00785442" w:rsidRDefault="00295CA1" w:rsidP="00D6112D">
      <w:pPr>
        <w:pStyle w:val="NormalWeb"/>
        <w:jc w:val="both"/>
        <w:rPr>
          <w:sz w:val="22"/>
          <w:szCs w:val="22"/>
        </w:rPr>
      </w:pPr>
    </w:p>
    <w:sectPr w:rsidR="00295CA1" w:rsidRPr="00785442" w:rsidSect="00D6112D">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A1" w:rsidRDefault="00295CA1" w:rsidP="00295CA1">
      <w:pPr>
        <w:spacing w:after="0" w:line="240" w:lineRule="auto"/>
      </w:pPr>
      <w:r>
        <w:separator/>
      </w:r>
    </w:p>
  </w:endnote>
  <w:endnote w:type="continuationSeparator" w:id="0">
    <w:p w:rsidR="00295CA1" w:rsidRDefault="00295CA1" w:rsidP="0029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92224"/>
      <w:docPartObj>
        <w:docPartGallery w:val="Page Numbers (Bottom of Page)"/>
        <w:docPartUnique/>
      </w:docPartObj>
    </w:sdtPr>
    <w:sdtEndPr/>
    <w:sdtContent>
      <w:sdt>
        <w:sdtPr>
          <w:id w:val="-1769616900"/>
          <w:docPartObj>
            <w:docPartGallery w:val="Page Numbers (Top of Page)"/>
            <w:docPartUnique/>
          </w:docPartObj>
        </w:sdtPr>
        <w:sdtEndPr/>
        <w:sdtContent>
          <w:p w:rsidR="00295CA1" w:rsidRDefault="00295C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4C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4C9C">
              <w:rPr>
                <w:b/>
                <w:bCs/>
                <w:noProof/>
              </w:rPr>
              <w:t>6</w:t>
            </w:r>
            <w:r>
              <w:rPr>
                <w:b/>
                <w:bCs/>
                <w:sz w:val="24"/>
                <w:szCs w:val="24"/>
              </w:rPr>
              <w:fldChar w:fldCharType="end"/>
            </w:r>
          </w:p>
        </w:sdtContent>
      </w:sdt>
    </w:sdtContent>
  </w:sdt>
  <w:p w:rsidR="00295CA1" w:rsidRDefault="0029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A1" w:rsidRDefault="00295CA1" w:rsidP="00295CA1">
      <w:pPr>
        <w:spacing w:after="0" w:line="240" w:lineRule="auto"/>
      </w:pPr>
      <w:r>
        <w:separator/>
      </w:r>
    </w:p>
  </w:footnote>
  <w:footnote w:type="continuationSeparator" w:id="0">
    <w:p w:rsidR="00295CA1" w:rsidRDefault="00295CA1" w:rsidP="00295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63C"/>
    <w:multiLevelType w:val="hybridMultilevel"/>
    <w:tmpl w:val="B05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14F2C"/>
    <w:multiLevelType w:val="hybridMultilevel"/>
    <w:tmpl w:val="3072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2034F"/>
    <w:multiLevelType w:val="hybridMultilevel"/>
    <w:tmpl w:val="C1EE8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56276"/>
    <w:multiLevelType w:val="hybridMultilevel"/>
    <w:tmpl w:val="0740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54DA7"/>
    <w:multiLevelType w:val="hybridMultilevel"/>
    <w:tmpl w:val="27462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F756D"/>
    <w:multiLevelType w:val="multilevel"/>
    <w:tmpl w:val="4CB63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A43BC"/>
    <w:multiLevelType w:val="hybridMultilevel"/>
    <w:tmpl w:val="00EA711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F93B9A"/>
    <w:multiLevelType w:val="hybridMultilevel"/>
    <w:tmpl w:val="8E7CA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FE"/>
    <w:rsid w:val="00002BAB"/>
    <w:rsid w:val="00083DEE"/>
    <w:rsid w:val="000F1A6B"/>
    <w:rsid w:val="001322FE"/>
    <w:rsid w:val="00132CD1"/>
    <w:rsid w:val="001644C8"/>
    <w:rsid w:val="001C55EB"/>
    <w:rsid w:val="002034DD"/>
    <w:rsid w:val="00243F4B"/>
    <w:rsid w:val="00286992"/>
    <w:rsid w:val="00295CA1"/>
    <w:rsid w:val="002B03C2"/>
    <w:rsid w:val="002C56C1"/>
    <w:rsid w:val="002D6852"/>
    <w:rsid w:val="00306CAD"/>
    <w:rsid w:val="00320B56"/>
    <w:rsid w:val="003604E9"/>
    <w:rsid w:val="00362A74"/>
    <w:rsid w:val="003D3982"/>
    <w:rsid w:val="00456BB7"/>
    <w:rsid w:val="004967A9"/>
    <w:rsid w:val="005B0B05"/>
    <w:rsid w:val="005C35AE"/>
    <w:rsid w:val="006166A8"/>
    <w:rsid w:val="006403BB"/>
    <w:rsid w:val="0066169F"/>
    <w:rsid w:val="00684BA0"/>
    <w:rsid w:val="006D4010"/>
    <w:rsid w:val="00745529"/>
    <w:rsid w:val="0077416A"/>
    <w:rsid w:val="00785442"/>
    <w:rsid w:val="00790CAA"/>
    <w:rsid w:val="007B02B3"/>
    <w:rsid w:val="007E15B8"/>
    <w:rsid w:val="007E3FDE"/>
    <w:rsid w:val="0083402A"/>
    <w:rsid w:val="008D224F"/>
    <w:rsid w:val="00941C06"/>
    <w:rsid w:val="00A06691"/>
    <w:rsid w:val="00A10818"/>
    <w:rsid w:val="00A85C07"/>
    <w:rsid w:val="00A9378B"/>
    <w:rsid w:val="00B44D1E"/>
    <w:rsid w:val="00BF1B20"/>
    <w:rsid w:val="00D6112D"/>
    <w:rsid w:val="00D84572"/>
    <w:rsid w:val="00D85C42"/>
    <w:rsid w:val="00DA0E75"/>
    <w:rsid w:val="00DB4C9C"/>
    <w:rsid w:val="00DE3AE0"/>
    <w:rsid w:val="00E3569D"/>
    <w:rsid w:val="00E443C7"/>
    <w:rsid w:val="00E4663B"/>
    <w:rsid w:val="00EC27CE"/>
    <w:rsid w:val="00EF5255"/>
    <w:rsid w:val="00F17F73"/>
    <w:rsid w:val="00F7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851AD-C5B6-45F6-9200-E8AD5211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22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7F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FE"/>
    <w:pPr>
      <w:ind w:left="720"/>
      <w:contextualSpacing/>
    </w:pPr>
  </w:style>
  <w:style w:type="paragraph" w:styleId="NormalWeb">
    <w:name w:val="Normal (Web)"/>
    <w:basedOn w:val="Normal"/>
    <w:uiPriority w:val="99"/>
    <w:unhideWhenUsed/>
    <w:rsid w:val="001322FE"/>
    <w:pPr>
      <w:spacing w:before="100" w:beforeAutospacing="1" w:after="100" w:afterAutospacing="1" w:line="360" w:lineRule="atLeast"/>
    </w:pPr>
    <w:rPr>
      <w:rFonts w:ascii="Arial" w:eastAsiaTheme="minorEastAsia" w:hAnsi="Arial" w:cs="Arial"/>
      <w:sz w:val="26"/>
      <w:szCs w:val="26"/>
      <w:lang w:eastAsia="en-GB"/>
    </w:rPr>
  </w:style>
  <w:style w:type="character" w:styleId="FollowedHyperlink">
    <w:name w:val="FollowedHyperlink"/>
    <w:basedOn w:val="DefaultParagraphFont"/>
    <w:uiPriority w:val="99"/>
    <w:semiHidden/>
    <w:unhideWhenUsed/>
    <w:rsid w:val="001322FE"/>
    <w:rPr>
      <w:strike w:val="0"/>
      <w:dstrike w:val="0"/>
      <w:color w:val="008000"/>
      <w:u w:val="none"/>
      <w:effect w:val="none"/>
    </w:rPr>
  </w:style>
  <w:style w:type="paragraph" w:customStyle="1" w:styleId="Default">
    <w:name w:val="Default"/>
    <w:rsid w:val="0077416A"/>
    <w:pPr>
      <w:autoSpaceDE w:val="0"/>
      <w:autoSpaceDN w:val="0"/>
      <w:adjustRightInd w:val="0"/>
      <w:spacing w:after="0" w:line="240" w:lineRule="auto"/>
    </w:pPr>
    <w:rPr>
      <w:rFonts w:ascii="Calibri" w:hAnsi="Calibri" w:cs="Calibri"/>
      <w:color w:val="000000"/>
      <w:sz w:val="24"/>
      <w:szCs w:val="24"/>
    </w:rPr>
  </w:style>
  <w:style w:type="paragraph" w:customStyle="1" w:styleId="Summary">
    <w:name w:val="Summary"/>
    <w:basedOn w:val="NormalWeb"/>
    <w:next w:val="Normal"/>
    <w:qFormat/>
    <w:rsid w:val="00F17F73"/>
    <w:pPr>
      <w:shd w:val="clear" w:color="auto" w:fill="EFEFEF"/>
    </w:pPr>
    <w:rPr>
      <w:color w:val="000000"/>
      <w:lang w:val="en"/>
    </w:rPr>
  </w:style>
  <w:style w:type="paragraph" w:customStyle="1" w:styleId="Summaryhead">
    <w:name w:val="Summary_head"/>
    <w:basedOn w:val="Heading3"/>
    <w:next w:val="Summary"/>
    <w:qFormat/>
    <w:rsid w:val="00F17F73"/>
    <w:pPr>
      <w:keepNext w:val="0"/>
      <w:keepLines w:val="0"/>
      <w:shd w:val="clear" w:color="auto" w:fill="EFEFEF"/>
      <w:spacing w:before="100" w:beforeAutospacing="1" w:after="100" w:afterAutospacing="1" w:line="375" w:lineRule="atLeast"/>
    </w:pPr>
    <w:rPr>
      <w:rFonts w:ascii="Arial" w:eastAsia="Times New Roman" w:hAnsi="Arial" w:cs="Arial"/>
      <w:b/>
      <w:bCs/>
      <w:color w:val="4D4D4D"/>
      <w:sz w:val="30"/>
      <w:szCs w:val="30"/>
      <w:lang w:val="en" w:eastAsia="en-GB"/>
    </w:rPr>
  </w:style>
  <w:style w:type="character" w:customStyle="1" w:styleId="Heading3Char">
    <w:name w:val="Heading 3 Char"/>
    <w:basedOn w:val="DefaultParagraphFont"/>
    <w:link w:val="Heading3"/>
    <w:uiPriority w:val="9"/>
    <w:semiHidden/>
    <w:rsid w:val="00F17F7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95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A1"/>
  </w:style>
  <w:style w:type="paragraph" w:styleId="Footer">
    <w:name w:val="footer"/>
    <w:basedOn w:val="Normal"/>
    <w:link w:val="FooterChar"/>
    <w:uiPriority w:val="99"/>
    <w:unhideWhenUsed/>
    <w:rsid w:val="00295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A1"/>
  </w:style>
  <w:style w:type="character" w:customStyle="1" w:styleId="Heading2Char">
    <w:name w:val="Heading 2 Char"/>
    <w:basedOn w:val="DefaultParagraphFont"/>
    <w:link w:val="Heading2"/>
    <w:uiPriority w:val="9"/>
    <w:rsid w:val="008D224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D224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D22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24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02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B01A-7021-4047-808A-C1EE7D12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Hospice</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Janet</dc:creator>
  <cp:keywords/>
  <dc:description/>
  <cp:lastModifiedBy>Janet Simkins</cp:lastModifiedBy>
  <cp:revision>4</cp:revision>
  <dcterms:created xsi:type="dcterms:W3CDTF">2023-03-14T16:20:00Z</dcterms:created>
  <dcterms:modified xsi:type="dcterms:W3CDTF">2023-03-14T17:06:00Z</dcterms:modified>
</cp:coreProperties>
</file>